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黑体" w:hAnsi="黑体" w:eastAsia="黑体" w:cs="黑体"/>
          <w:b/>
          <w:bCs/>
          <w:kern w:val="0"/>
          <w:sz w:val="36"/>
          <w:szCs w:val="36"/>
        </w:rPr>
      </w:pPr>
      <w:r>
        <w:rPr>
          <w:rFonts w:hint="eastAsia" w:ascii="黑体" w:hAnsi="黑体" w:eastAsia="黑体" w:cs="黑体"/>
          <w:b/>
          <w:bCs/>
          <w:kern w:val="0"/>
          <w:sz w:val="36"/>
          <w:szCs w:val="36"/>
        </w:rPr>
        <w:t>土木工程学院研究生综合测评管理实施细则</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黑体" w:hAnsi="黑体" w:eastAsia="黑体" w:cs="黑体"/>
          <w:b/>
          <w:bCs/>
          <w:kern w:val="0"/>
          <w:sz w:val="32"/>
          <w:szCs w:val="32"/>
          <w:highlight w:val="yellow"/>
        </w:rPr>
      </w:pPr>
      <w:r>
        <w:rPr>
          <w:rFonts w:hint="eastAsia" w:ascii="黑体" w:hAnsi="黑体" w:eastAsia="黑体" w:cs="黑体"/>
          <w:b/>
          <w:bCs/>
          <w:kern w:val="0"/>
          <w:sz w:val="32"/>
          <w:szCs w:val="32"/>
          <w:highlight w:val="none"/>
        </w:rPr>
        <w:t>（202</w:t>
      </w:r>
      <w:r>
        <w:rPr>
          <w:rFonts w:hint="eastAsia" w:ascii="黑体" w:hAnsi="黑体" w:eastAsia="黑体" w:cs="黑体"/>
          <w:b/>
          <w:bCs/>
          <w:kern w:val="0"/>
          <w:sz w:val="32"/>
          <w:szCs w:val="32"/>
          <w:highlight w:val="none"/>
          <w:lang w:val="en-US" w:eastAsia="zh-CN"/>
        </w:rPr>
        <w:t>2</w:t>
      </w:r>
      <w:r>
        <w:rPr>
          <w:rFonts w:hint="eastAsia" w:ascii="黑体" w:hAnsi="黑体" w:eastAsia="黑体" w:cs="黑体"/>
          <w:b/>
          <w:bCs/>
          <w:kern w:val="0"/>
          <w:sz w:val="32"/>
          <w:szCs w:val="32"/>
          <w:highlight w:val="none"/>
        </w:rPr>
        <w:t>年修订）</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hint="eastAsia" w:ascii="仿宋_GB2312" w:hAnsi="宋体" w:eastAsia="仿宋_GB2312"/>
          <w:b/>
          <w:kern w:val="0"/>
          <w:sz w:val="28"/>
          <w:szCs w:val="28"/>
        </w:rPr>
      </w:pP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 w:val="28"/>
          <w:szCs w:val="28"/>
        </w:rPr>
      </w:pPr>
      <w:r>
        <w:rPr>
          <w:rFonts w:hint="eastAsia" w:ascii="仿宋_GB2312" w:hAnsi="宋体" w:eastAsia="仿宋_GB2312"/>
          <w:b/>
          <w:kern w:val="0"/>
          <w:sz w:val="28"/>
          <w:szCs w:val="28"/>
        </w:rPr>
        <w:t>第一章 总则</w:t>
      </w:r>
    </w:p>
    <w:p>
      <w:pPr>
        <w:keepNext w:val="0"/>
        <w:keepLines w:val="0"/>
        <w:pageBreakBefore w:val="0"/>
        <w:widowControl/>
        <w:kinsoku/>
        <w:wordWrap/>
        <w:overflowPunct/>
        <w:topLinePunct w:val="0"/>
        <w:bidi w:val="0"/>
        <w:adjustRightInd w:val="0"/>
        <w:snapToGrid w:val="0"/>
        <w:spacing w:line="540" w:lineRule="exact"/>
        <w:ind w:firstLine="640"/>
        <w:textAlignment w:val="auto"/>
        <w:rPr>
          <w:rFonts w:ascii="仿宋_GB2312" w:hAnsi="宋体" w:eastAsia="仿宋_GB2312"/>
          <w:color w:val="000000"/>
          <w:kern w:val="0"/>
          <w:sz w:val="28"/>
          <w:szCs w:val="28"/>
        </w:rPr>
      </w:pPr>
      <w:r>
        <w:rPr>
          <w:rFonts w:hint="eastAsia" w:ascii="仿宋_GB2312" w:hAnsi="宋体" w:eastAsia="仿宋_GB2312"/>
          <w:b/>
          <w:color w:val="000000"/>
          <w:kern w:val="0"/>
          <w:sz w:val="28"/>
          <w:szCs w:val="28"/>
        </w:rPr>
        <w:t xml:space="preserve">第一条 </w:t>
      </w:r>
      <w:r>
        <w:rPr>
          <w:rFonts w:hint="eastAsia" w:ascii="仿宋_GB2312" w:hAnsi="宋体" w:eastAsia="仿宋_GB2312"/>
          <w:color w:val="000000"/>
          <w:kern w:val="0"/>
          <w:sz w:val="28"/>
          <w:szCs w:val="28"/>
        </w:rPr>
        <w:t xml:space="preserve"> 为全面贯彻党和国家的教育方针，围绕学校“德才兼备、领袖气质、家国情怀”的人才培养目标，进一步规范学院研究生奖学金的评选，激励广大同学形成奋发向上、刻苦学习的良好氛围，促进同学们德智体美劳全面发展</w:t>
      </w:r>
      <w:r>
        <w:rPr>
          <w:rFonts w:hint="eastAsia" w:ascii="仿宋_GB2312" w:hAnsi="宋体" w:eastAsia="仿宋_GB2312"/>
          <w:kern w:val="0"/>
          <w:sz w:val="28"/>
          <w:szCs w:val="28"/>
        </w:rPr>
        <w:t>,</w:t>
      </w:r>
      <w:r>
        <w:rPr>
          <w:rFonts w:hint="eastAsia" w:ascii="仿宋_GB2312" w:hAnsi="宋体" w:eastAsia="仿宋_GB2312"/>
          <w:color w:val="000000"/>
          <w:kern w:val="0"/>
          <w:sz w:val="28"/>
          <w:szCs w:val="28"/>
        </w:rPr>
        <w:t>按照《中山大学研究生奖助规定》和《中山大学研究生奖助规定实施细则》的相关规定，结合我院实际情况，特制定本细则。</w:t>
      </w:r>
    </w:p>
    <w:p>
      <w:pPr>
        <w:keepNext w:val="0"/>
        <w:keepLines w:val="0"/>
        <w:pageBreakBefore w:val="0"/>
        <w:widowControl/>
        <w:kinsoku/>
        <w:wordWrap/>
        <w:overflowPunct/>
        <w:topLinePunct w:val="0"/>
        <w:bidi w:val="0"/>
        <w:adjustRightInd w:val="0"/>
        <w:snapToGrid w:val="0"/>
        <w:spacing w:line="540" w:lineRule="exact"/>
        <w:textAlignment w:val="auto"/>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w:t>
      </w:r>
      <w:r>
        <w:rPr>
          <w:rFonts w:hint="eastAsia" w:ascii="仿宋_GB2312" w:hAnsi="宋体" w:eastAsia="仿宋_GB2312"/>
          <w:b/>
          <w:color w:val="000000"/>
          <w:kern w:val="0"/>
          <w:sz w:val="28"/>
          <w:szCs w:val="28"/>
        </w:rPr>
        <w:t xml:space="preserve"> 第二条</w:t>
      </w:r>
      <w:r>
        <w:rPr>
          <w:rFonts w:hint="eastAsia" w:ascii="仿宋_GB2312" w:hAnsi="宋体" w:eastAsia="仿宋_GB2312"/>
          <w:color w:val="000000"/>
          <w:kern w:val="0"/>
          <w:sz w:val="28"/>
          <w:szCs w:val="28"/>
        </w:rPr>
        <w:t xml:space="preserve">  本细则适用对象为具有中山大学学籍的纳入全国研究生招生计划且在基本修业年限内的全日制博士、硕士研究生（有固定工资收入的除外）以及非在职全日制“少数民族高层次骨干人才研究生培养计划”国家专项计划硕士研究生。不含科研经费博士研究生专项招生计划博士研究生，不含留学生、港澳台生、定向培养（委托培养）生。</w:t>
      </w:r>
    </w:p>
    <w:p>
      <w:pPr>
        <w:keepNext w:val="0"/>
        <w:keepLines w:val="0"/>
        <w:pageBreakBefore w:val="0"/>
        <w:widowControl/>
        <w:kinsoku/>
        <w:wordWrap/>
        <w:overflowPunct/>
        <w:topLinePunct w:val="0"/>
        <w:bidi w:val="0"/>
        <w:adjustRightInd w:val="0"/>
        <w:snapToGrid w:val="0"/>
        <w:spacing w:line="540" w:lineRule="exact"/>
        <w:ind w:firstLine="640"/>
        <w:textAlignment w:val="auto"/>
        <w:rPr>
          <w:rFonts w:ascii="仿宋_GB2312" w:hAnsi="宋体" w:eastAsia="仿宋_GB2312"/>
          <w:color w:val="000000"/>
          <w:kern w:val="0"/>
          <w:sz w:val="28"/>
          <w:szCs w:val="28"/>
        </w:rPr>
      </w:pPr>
      <w:r>
        <w:rPr>
          <w:rFonts w:hint="eastAsia" w:ascii="仿宋_GB2312" w:hAnsi="宋体" w:eastAsia="仿宋_GB2312"/>
          <w:b/>
          <w:color w:val="000000"/>
          <w:kern w:val="0"/>
          <w:sz w:val="28"/>
          <w:szCs w:val="28"/>
        </w:rPr>
        <w:t>第三条</w:t>
      </w:r>
      <w:r>
        <w:rPr>
          <w:rFonts w:hint="eastAsia" w:ascii="仿宋_GB2312" w:hAnsi="宋体" w:eastAsia="仿宋_GB2312"/>
          <w:color w:val="000000"/>
          <w:kern w:val="0"/>
          <w:sz w:val="28"/>
          <w:szCs w:val="28"/>
        </w:rPr>
        <w:t xml:space="preserve">  本细则对</w:t>
      </w:r>
      <w:r>
        <w:rPr>
          <w:rFonts w:hint="eastAsia" w:ascii="仿宋_GB2312" w:hAnsi="宋体" w:eastAsia="仿宋_GB2312"/>
          <w:b/>
          <w:color w:val="000000"/>
          <w:kern w:val="0"/>
          <w:sz w:val="28"/>
          <w:szCs w:val="28"/>
        </w:rPr>
        <w:t>研究生的思想品行、学习成绩、科研业绩、研究进展和实践能力等方面的表现进行综合评价</w:t>
      </w:r>
      <w:r>
        <w:rPr>
          <w:rFonts w:hint="eastAsia" w:ascii="仿宋_GB2312" w:hAnsi="宋体" w:eastAsia="仿宋_GB2312"/>
          <w:color w:val="000000"/>
          <w:kern w:val="0"/>
          <w:sz w:val="28"/>
          <w:szCs w:val="28"/>
        </w:rPr>
        <w:t xml:space="preserve">，实现动态调整，激励研究生的学习和科研积极性。  </w:t>
      </w:r>
    </w:p>
    <w:p>
      <w:pPr>
        <w:keepNext w:val="0"/>
        <w:keepLines w:val="0"/>
        <w:pageBreakBefore w:val="0"/>
        <w:widowControl/>
        <w:kinsoku/>
        <w:wordWrap/>
        <w:overflowPunct/>
        <w:topLinePunct w:val="0"/>
        <w:bidi w:val="0"/>
        <w:adjustRightInd w:val="0"/>
        <w:snapToGrid w:val="0"/>
        <w:spacing w:line="540" w:lineRule="exact"/>
        <w:ind w:firstLine="640"/>
        <w:textAlignment w:val="auto"/>
        <w:rPr>
          <w:rFonts w:ascii="仿宋_GB2312" w:hAnsi="宋体" w:eastAsia="仿宋_GB2312"/>
          <w:kern w:val="0"/>
          <w:sz w:val="28"/>
          <w:szCs w:val="28"/>
        </w:rPr>
      </w:pPr>
      <w:r>
        <w:rPr>
          <w:rFonts w:ascii="仿宋_GB2312" w:hAnsi="宋体" w:eastAsia="仿宋_GB2312"/>
          <w:b/>
          <w:color w:val="000000"/>
          <w:kern w:val="0"/>
          <w:sz w:val="28"/>
          <w:szCs w:val="28"/>
        </w:rPr>
        <w:t>第四条</w:t>
      </w:r>
      <w:r>
        <w:rPr>
          <w:rFonts w:hint="eastAsia" w:ascii="仿宋_GB2312" w:hAnsi="宋体" w:eastAsia="仿宋_GB2312"/>
          <w:color w:val="000000"/>
          <w:kern w:val="0"/>
          <w:sz w:val="28"/>
          <w:szCs w:val="28"/>
        </w:rPr>
        <w:t xml:space="preserve">  本细则旨在以明晰的内容、明确的程序指导学院研究生综合测评工作内容全面、标准客观、程序规范、结果公正，为研究生奖助金评定、各类研究生奖学金评定等提供依据。</w:t>
      </w:r>
    </w:p>
    <w:p>
      <w:pPr>
        <w:keepNext w:val="0"/>
        <w:keepLines w:val="0"/>
        <w:pageBreakBefore w:val="0"/>
        <w:widowControl/>
        <w:kinsoku/>
        <w:wordWrap/>
        <w:overflowPunct/>
        <w:topLinePunct w:val="0"/>
        <w:bidi w:val="0"/>
        <w:adjustRightInd w:val="0"/>
        <w:snapToGrid w:val="0"/>
        <w:spacing w:line="540" w:lineRule="exact"/>
        <w:ind w:firstLine="562" w:firstLineChars="200"/>
        <w:textAlignment w:val="auto"/>
        <w:rPr>
          <w:rFonts w:ascii="仿宋_GB2312" w:hAnsi="宋体" w:eastAsia="仿宋_GB2312"/>
          <w:sz w:val="28"/>
          <w:szCs w:val="28"/>
        </w:rPr>
      </w:pPr>
      <w:r>
        <w:rPr>
          <w:rFonts w:hint="eastAsia" w:ascii="仿宋_GB2312" w:hAnsi="宋体" w:eastAsia="仿宋_GB2312"/>
          <w:b/>
          <w:color w:val="000000"/>
          <w:kern w:val="0"/>
          <w:sz w:val="28"/>
          <w:szCs w:val="28"/>
        </w:rPr>
        <w:t>第五条</w:t>
      </w:r>
      <w:r>
        <w:rPr>
          <w:rFonts w:hint="eastAsia" w:ascii="仿宋_GB2312" w:hAnsi="宋体" w:eastAsia="仿宋_GB2312"/>
          <w:color w:val="000000"/>
          <w:kern w:val="0"/>
          <w:sz w:val="28"/>
          <w:szCs w:val="28"/>
        </w:rPr>
        <w:t xml:space="preserve">  学院根据研究生院相关规定成立</w:t>
      </w:r>
      <w:r>
        <w:rPr>
          <w:rFonts w:hint="eastAsia" w:ascii="仿宋_GB2312" w:hAnsi="宋体" w:eastAsia="仿宋_GB2312"/>
          <w:sz w:val="28"/>
          <w:szCs w:val="28"/>
        </w:rPr>
        <w:t>研究生奖助学金评审委员会，以学院研究生教育与学位委员会成员为主，成员还包括学院分管学生工作的党</w:t>
      </w:r>
      <w:r>
        <w:rPr>
          <w:rFonts w:hint="eastAsia" w:ascii="仿宋_GB2312" w:hAnsi="宋体" w:eastAsia="仿宋_GB2312"/>
          <w:sz w:val="28"/>
          <w:szCs w:val="28"/>
          <w:lang w:val="en-US" w:eastAsia="zh-CN"/>
        </w:rPr>
        <w:t>委</w:t>
      </w:r>
      <w:r>
        <w:rPr>
          <w:rFonts w:hint="eastAsia" w:ascii="仿宋_GB2312" w:hAnsi="宋体" w:eastAsia="仿宋_GB2312"/>
          <w:sz w:val="28"/>
          <w:szCs w:val="28"/>
        </w:rPr>
        <w:t>副书记、一名</w:t>
      </w:r>
      <w:r>
        <w:rPr>
          <w:rFonts w:hint="eastAsia" w:ascii="仿宋_GB2312" w:hAnsi="宋体" w:eastAsia="仿宋_GB2312"/>
          <w:sz w:val="28"/>
          <w:szCs w:val="28"/>
          <w:lang w:val="en-US" w:eastAsia="zh-CN"/>
        </w:rPr>
        <w:t>在读</w:t>
      </w:r>
      <w:r>
        <w:rPr>
          <w:rFonts w:hint="eastAsia" w:ascii="仿宋_GB2312" w:hAnsi="宋体" w:eastAsia="仿宋_GB2312"/>
          <w:sz w:val="28"/>
          <w:szCs w:val="28"/>
        </w:rPr>
        <w:t>研究生代表。负责学院研究生奖助金和各类研究生奖学金的申请组织、初步评审等工作。</w:t>
      </w:r>
    </w:p>
    <w:p>
      <w:pPr>
        <w:keepNext w:val="0"/>
        <w:keepLines w:val="0"/>
        <w:pageBreakBefore w:val="0"/>
        <w:kinsoku/>
        <w:wordWrap/>
        <w:overflowPunct/>
        <w:topLinePunct w:val="0"/>
        <w:bidi w:val="0"/>
        <w:adjustRightInd w:val="0"/>
        <w:snapToGrid w:val="0"/>
        <w:spacing w:line="540" w:lineRule="exact"/>
        <w:ind w:firstLine="640"/>
        <w:textAlignment w:val="auto"/>
        <w:rPr>
          <w:rFonts w:ascii="仿宋_GB2312" w:hAnsi="宋体" w:eastAsia="仿宋_GB2312"/>
          <w:kern w:val="0"/>
          <w:sz w:val="28"/>
          <w:szCs w:val="28"/>
        </w:rPr>
      </w:pPr>
      <w:r>
        <w:rPr>
          <w:rFonts w:hint="eastAsia" w:ascii="仿宋_GB2312" w:hAnsi="宋体" w:eastAsia="仿宋_GB2312"/>
          <w:b/>
          <w:kern w:val="0"/>
          <w:sz w:val="28"/>
          <w:szCs w:val="28"/>
        </w:rPr>
        <w:t>第六条</w:t>
      </w:r>
      <w:r>
        <w:rPr>
          <w:rFonts w:hint="eastAsia" w:ascii="仿宋_GB2312" w:hAnsi="宋体" w:eastAsia="仿宋_GB2312"/>
          <w:kern w:val="0"/>
          <w:sz w:val="28"/>
          <w:szCs w:val="28"/>
        </w:rPr>
        <w:t xml:space="preserve">  研究生申请奖助学金、各类奖学金需符合以下条件：</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（一）热爱社会主义祖国，拥护中国共产党领导；</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（二）遵守宪法和法律，遵守学校规章制度；</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（三）诚实守信，道德品质优良；</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（四）积极参与科学研究和社会实践；</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（五）学习成绩优良，科研能力较强；</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（六）入学一年以上的研究生参评奖助金的上一学年度已达到学校培养计划所规定的学习要求，并考核合格；</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（七）完成学校规定的教学助理、科研助手等工作任务。</w:t>
      </w:r>
    </w:p>
    <w:p>
      <w:pPr>
        <w:keepNext w:val="0"/>
        <w:keepLines w:val="0"/>
        <w:pageBreakBefore w:val="0"/>
        <w:kinsoku/>
        <w:wordWrap/>
        <w:overflowPunct/>
        <w:topLinePunct w:val="0"/>
        <w:bidi w:val="0"/>
        <w:adjustRightInd w:val="0"/>
        <w:snapToGrid w:val="0"/>
        <w:spacing w:line="540" w:lineRule="exact"/>
        <w:ind w:firstLine="640"/>
        <w:textAlignment w:val="auto"/>
        <w:rPr>
          <w:rFonts w:ascii="仿宋_GB2312" w:hAnsi="宋体" w:eastAsia="仿宋_GB2312"/>
          <w:sz w:val="28"/>
          <w:szCs w:val="28"/>
        </w:rPr>
      </w:pPr>
      <w:r>
        <w:rPr>
          <w:rFonts w:hint="eastAsia" w:ascii="仿宋_GB2312" w:hAnsi="宋体" w:eastAsia="仿宋_GB2312"/>
          <w:b/>
          <w:sz w:val="28"/>
          <w:szCs w:val="28"/>
        </w:rPr>
        <w:t xml:space="preserve">第七条 </w:t>
      </w:r>
      <w:r>
        <w:rPr>
          <w:rFonts w:hint="eastAsia" w:ascii="仿宋_GB2312" w:hAnsi="宋体" w:eastAsia="仿宋_GB2312"/>
          <w:sz w:val="28"/>
          <w:szCs w:val="28"/>
        </w:rPr>
        <w:t xml:space="preserve"> 有下列情形之一者，取消参评资格：</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（一）在申请资料中弄虚作假；</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（二）因违反校纪校规受纪律处分；</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（三）考试作弊或有抄袭、剽窃他人成果等学术不端行为；</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（四）在科研工作中违反工作程序，导致严重后果；</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（五）考核学年度有</w:t>
      </w:r>
      <w:r>
        <w:rPr>
          <w:rFonts w:hint="eastAsia" w:ascii="仿宋_GB2312" w:hAnsi="宋体" w:eastAsia="仿宋_GB2312"/>
          <w:sz w:val="28"/>
          <w:szCs w:val="28"/>
          <w:lang w:val="en-US" w:eastAsia="zh-CN"/>
        </w:rPr>
        <w:t>课程考试</w:t>
      </w:r>
      <w:r>
        <w:rPr>
          <w:rFonts w:hint="eastAsia" w:ascii="仿宋_GB2312" w:hAnsi="宋体" w:eastAsia="仿宋_GB2312"/>
          <w:sz w:val="28"/>
          <w:szCs w:val="28"/>
        </w:rPr>
        <w:t>不及格者；</w:t>
      </w:r>
    </w:p>
    <w:p>
      <w:pPr>
        <w:keepNext w:val="0"/>
        <w:keepLines w:val="0"/>
        <w:pageBreakBefore w:val="0"/>
        <w:kinsoku/>
        <w:wordWrap/>
        <w:overflowPunct/>
        <w:topLinePunct w:val="0"/>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kern w:val="0"/>
          <w:sz w:val="28"/>
          <w:szCs w:val="28"/>
        </w:rPr>
        <w:t>（六）导师及学院研究生奖助学金评审委员会根据相关规定认定的需取消参评资格的其他情形。</w:t>
      </w: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sz w:val="28"/>
          <w:szCs w:val="28"/>
        </w:rPr>
      </w:pPr>
      <w:r>
        <w:rPr>
          <w:rFonts w:hint="eastAsia" w:ascii="仿宋_GB2312" w:hAnsi="宋体" w:eastAsia="仿宋_GB2312"/>
          <w:kern w:val="0"/>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sz w:val="28"/>
          <w:szCs w:val="28"/>
        </w:rPr>
        <w:t>第八条</w:t>
      </w:r>
      <w:r>
        <w:rPr>
          <w:rFonts w:hint="eastAsia" w:ascii="仿宋_GB2312" w:hAnsi="宋体" w:eastAsia="仿宋_GB2312"/>
          <w:sz w:val="28"/>
          <w:szCs w:val="28"/>
        </w:rPr>
        <w:t xml:space="preserve">  每学年开展一次综合测评。综合测评得分由学业成绩、综合加分两部分构成。</w:t>
      </w:r>
      <w:r>
        <w:rPr>
          <w:rFonts w:hint="eastAsia" w:ascii="仿宋_GB2312" w:hAnsi="宋体" w:eastAsia="仿宋_GB2312"/>
          <w:b/>
          <w:sz w:val="28"/>
          <w:szCs w:val="28"/>
        </w:rPr>
        <w:t>学业成绩为研究生教育管理服务平台里显示的各科成绩的平均分。</w:t>
      </w:r>
      <w:r>
        <w:rPr>
          <w:rFonts w:hint="eastAsia" w:ascii="仿宋_GB2312" w:hAnsi="宋体" w:eastAsia="仿宋_GB2312"/>
          <w:sz w:val="28"/>
          <w:szCs w:val="28"/>
        </w:rPr>
        <w:t>硕士研究生学业成绩权重为30%，博士学业成绩权重20%。硕士研究生总分=学业成绩*30%+综合加分*70%。博士研究生总分=学业成绩*20%+综合加分*80%。</w:t>
      </w:r>
      <w:r>
        <w:rPr>
          <w:rFonts w:hint="eastAsia" w:ascii="仿宋_GB2312" w:hAnsi="宋体" w:eastAsia="仿宋_GB2312"/>
          <w:b/>
          <w:sz w:val="28"/>
          <w:szCs w:val="28"/>
        </w:rPr>
        <w:t>结合不同学科专业特点、综合测评得分、培养类别、学校分配的名额等因素排序来确定推荐的奖助金等级或奖学金</w:t>
      </w:r>
      <w:r>
        <w:rPr>
          <w:rFonts w:hint="eastAsia" w:ascii="仿宋_GB2312" w:hAnsi="宋体" w:eastAsia="仿宋_GB2312"/>
          <w:sz w:val="28"/>
          <w:szCs w:val="28"/>
        </w:rPr>
        <w:t>。</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    </w:t>
      </w:r>
      <w:r>
        <w:rPr>
          <w:rFonts w:hint="eastAsia" w:ascii="仿宋_GB2312" w:hAnsi="宋体" w:eastAsia="仿宋_GB2312"/>
          <w:b/>
          <w:kern w:val="0"/>
          <w:sz w:val="28"/>
          <w:szCs w:val="28"/>
          <w:highlight w:val="none"/>
        </w:rPr>
        <w:t>第九条</w:t>
      </w:r>
      <w:r>
        <w:rPr>
          <w:rFonts w:hint="eastAsia" w:ascii="仿宋_GB2312" w:hAnsi="宋体" w:eastAsia="仿宋_GB2312"/>
          <w:kern w:val="0"/>
          <w:sz w:val="28"/>
          <w:szCs w:val="28"/>
          <w:highlight w:val="none"/>
        </w:rPr>
        <w:t xml:space="preserve">   综合加分内容的计算时限是指本学年度，具体日期区间以当年发布的</w:t>
      </w:r>
      <w:r>
        <w:rPr>
          <w:rFonts w:hint="eastAsia" w:ascii="仿宋_GB2312" w:hAnsi="宋体" w:eastAsia="仿宋_GB2312"/>
          <w:kern w:val="0"/>
          <w:sz w:val="28"/>
          <w:szCs w:val="28"/>
          <w:highlight w:val="none"/>
          <w:lang w:val="en-US" w:eastAsia="zh-CN"/>
        </w:rPr>
        <w:t>评选</w:t>
      </w:r>
      <w:r>
        <w:rPr>
          <w:rFonts w:hint="eastAsia" w:ascii="仿宋_GB2312" w:hAnsi="宋体" w:eastAsia="仿宋_GB2312"/>
          <w:kern w:val="0"/>
          <w:sz w:val="28"/>
          <w:szCs w:val="28"/>
          <w:highlight w:val="none"/>
        </w:rPr>
        <w:t>通知为准。但国家</w:t>
      </w:r>
      <w:r>
        <w:rPr>
          <w:rFonts w:hint="eastAsia" w:ascii="仿宋_GB2312" w:hAnsi="宋体" w:eastAsia="仿宋_GB2312"/>
          <w:kern w:val="0"/>
          <w:sz w:val="28"/>
          <w:szCs w:val="28"/>
        </w:rPr>
        <w:t>奖学金评定时，加分内容时限可从进入该阶段学习至本年度8月31日（已参加过国家奖学金评定且获评国家奖学金的加分内容不能重复使用）。</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 w:val="28"/>
          <w:szCs w:val="28"/>
        </w:rPr>
      </w:pPr>
      <w:r>
        <w:rPr>
          <w:rFonts w:hint="eastAsia" w:ascii="仿宋_GB2312" w:hAnsi="宋体" w:eastAsia="仿宋_GB2312"/>
          <w:b/>
          <w:kern w:val="0"/>
          <w:sz w:val="28"/>
          <w:szCs w:val="28"/>
        </w:rPr>
        <w:t xml:space="preserve">第二章 </w:t>
      </w:r>
      <w:r>
        <w:rPr>
          <w:rFonts w:ascii="仿宋_GB2312" w:hAnsi="宋体" w:eastAsia="仿宋_GB2312"/>
          <w:b/>
          <w:kern w:val="0"/>
          <w:sz w:val="28"/>
          <w:szCs w:val="28"/>
        </w:rPr>
        <w:t xml:space="preserve"> </w:t>
      </w:r>
      <w:r>
        <w:rPr>
          <w:rFonts w:hint="eastAsia" w:ascii="仿宋_GB2312" w:hAnsi="宋体" w:eastAsia="仿宋_GB2312"/>
          <w:b/>
          <w:kern w:val="0"/>
          <w:sz w:val="28"/>
          <w:szCs w:val="28"/>
        </w:rPr>
        <w:t>测评标准</w:t>
      </w:r>
    </w:p>
    <w:p>
      <w:pPr>
        <w:keepNext w:val="0"/>
        <w:keepLines w:val="0"/>
        <w:pageBreakBefore w:val="0"/>
        <w:widowControl/>
        <w:kinsoku/>
        <w:wordWrap/>
        <w:overflowPunct/>
        <w:topLinePunct w:val="0"/>
        <w:autoSpaceDE w:val="0"/>
        <w:autoSpaceDN w:val="0"/>
        <w:bidi w:val="0"/>
        <w:adjustRightInd w:val="0"/>
        <w:snapToGrid w:val="0"/>
        <w:spacing w:line="540" w:lineRule="exact"/>
        <w:ind w:firstLine="562" w:firstLineChars="200"/>
        <w:textAlignment w:val="auto"/>
        <w:rPr>
          <w:rFonts w:ascii="仿宋_GB2312" w:hAnsi="宋体" w:eastAsia="仿宋_GB2312"/>
          <w:b/>
          <w:kern w:val="0"/>
          <w:sz w:val="28"/>
          <w:szCs w:val="28"/>
        </w:rPr>
      </w:pPr>
      <w:r>
        <w:rPr>
          <w:rFonts w:hint="eastAsia" w:ascii="仿宋_GB2312" w:hAnsi="宋体" w:eastAsia="仿宋_GB2312"/>
          <w:b/>
          <w:kern w:val="0"/>
          <w:sz w:val="28"/>
          <w:szCs w:val="28"/>
        </w:rPr>
        <w:t xml:space="preserve">第十条 </w:t>
      </w:r>
      <w:r>
        <w:rPr>
          <w:rFonts w:ascii="仿宋_GB2312" w:hAnsi="宋体" w:eastAsia="仿宋_GB2312"/>
          <w:b/>
          <w:kern w:val="0"/>
          <w:sz w:val="28"/>
          <w:szCs w:val="28"/>
        </w:rPr>
        <w:t xml:space="preserve"> </w:t>
      </w:r>
      <w:r>
        <w:rPr>
          <w:rFonts w:hint="eastAsia" w:ascii="仿宋_GB2312" w:hAnsi="宋体" w:eastAsia="仿宋_GB2312"/>
          <w:kern w:val="0"/>
          <w:sz w:val="28"/>
          <w:szCs w:val="28"/>
        </w:rPr>
        <w:t>具体加分项目</w:t>
      </w:r>
    </w:p>
    <w:p>
      <w:pPr>
        <w:keepNext w:val="0"/>
        <w:keepLines w:val="0"/>
        <w:pageBreakBefore w:val="0"/>
        <w:widowControl/>
        <w:kinsoku/>
        <w:wordWrap/>
        <w:overflowPunct/>
        <w:topLinePunct w:val="0"/>
        <w:autoSpaceDE w:val="0"/>
        <w:autoSpaceDN w:val="0"/>
        <w:bidi w:val="0"/>
        <w:adjustRightInd w:val="0"/>
        <w:snapToGrid w:val="0"/>
        <w:spacing w:line="540" w:lineRule="exact"/>
        <w:ind w:firstLine="560" w:firstLineChars="200"/>
        <w:textAlignment w:val="auto"/>
        <w:rPr>
          <w:rFonts w:ascii="仿宋_GB2312" w:hAnsi="宋体" w:eastAsia="仿宋_GB2312"/>
          <w:kern w:val="0"/>
          <w:sz w:val="28"/>
          <w:szCs w:val="28"/>
        </w:rPr>
      </w:pPr>
      <w:r>
        <w:rPr>
          <w:rFonts w:hint="eastAsia" w:ascii="仿宋_GB2312" w:hAnsi="宋体" w:eastAsia="仿宋_GB2312"/>
          <w:kern w:val="0"/>
          <w:sz w:val="28"/>
          <w:szCs w:val="28"/>
        </w:rPr>
        <w:t>用于申请奖学金的学术成果是研究生在学期间瞄准学科前沿开展的创新性研究工作，可以是学术论文、学术会议论文、专利、专著、研究报告等形式。</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b/>
          <w:kern w:val="0"/>
          <w:sz w:val="28"/>
          <w:szCs w:val="28"/>
        </w:rPr>
      </w:pPr>
      <w:r>
        <w:rPr>
          <w:rFonts w:hint="eastAsia" w:ascii="仿宋_GB2312" w:hAnsi="宋体" w:eastAsia="仿宋_GB2312"/>
          <w:b/>
          <w:kern w:val="0"/>
          <w:sz w:val="28"/>
          <w:szCs w:val="28"/>
        </w:rPr>
        <w:t xml:space="preserve">(一)学术成果加分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1.论文加分</w:t>
      </w:r>
    </w:p>
    <w:tbl>
      <w:tblPr>
        <w:tblStyle w:val="7"/>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843"/>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加分类别</w:t>
            </w:r>
          </w:p>
        </w:tc>
        <w:tc>
          <w:tcPr>
            <w:tcW w:w="1843"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分值</w:t>
            </w:r>
          </w:p>
        </w:tc>
        <w:tc>
          <w:tcPr>
            <w:tcW w:w="5244"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322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highlight w:val="none"/>
              </w:rPr>
            </w:pP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在国内外本领域主流学术刊物发表</w:t>
            </w:r>
            <w:r>
              <w:rPr>
                <w:rFonts w:hint="eastAsia" w:ascii="黑体" w:hAnsi="黑体" w:eastAsia="黑体" w:cs="黑体"/>
                <w:b/>
                <w:bCs/>
                <w:kern w:val="0"/>
                <w:highlight w:val="none"/>
              </w:rPr>
              <w:t>高水平论文</w:t>
            </w:r>
            <w:r>
              <w:rPr>
                <w:rFonts w:hint="eastAsia" w:ascii="仿宋_GB2312" w:hAnsi="宋体" w:eastAsia="仿宋_GB2312"/>
                <w:kern w:val="0"/>
                <w:highlight w:val="none"/>
              </w:rPr>
              <w:t>并被收录，刊物分区以中国科学院大类分区（升级版）为准</w:t>
            </w:r>
          </w:p>
        </w:tc>
        <w:tc>
          <w:tcPr>
            <w:tcW w:w="1843" w:type="dxa"/>
          </w:tcPr>
          <w:p>
            <w:pPr>
              <w:keepNext w:val="0"/>
              <w:keepLines w:val="0"/>
              <w:pageBreakBefore w:val="0"/>
              <w:widowControl/>
              <w:kinsoku/>
              <w:wordWrap/>
              <w:overflowPunct/>
              <w:topLinePunct w:val="0"/>
              <w:bidi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四区：10分/篇</w:t>
            </w:r>
          </w:p>
          <w:p>
            <w:pPr>
              <w:keepNext w:val="0"/>
              <w:keepLines w:val="0"/>
              <w:pageBreakBefore w:val="0"/>
              <w:widowControl/>
              <w:kinsoku/>
              <w:wordWrap/>
              <w:overflowPunct/>
              <w:topLinePunct w:val="0"/>
              <w:bidi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三区：30分/篇</w:t>
            </w:r>
          </w:p>
          <w:p>
            <w:pPr>
              <w:keepNext w:val="0"/>
              <w:keepLines w:val="0"/>
              <w:pageBreakBefore w:val="0"/>
              <w:widowControl/>
              <w:kinsoku/>
              <w:wordWrap/>
              <w:overflowPunct/>
              <w:topLinePunct w:val="0"/>
              <w:bidi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二区：40分/篇</w:t>
            </w:r>
          </w:p>
          <w:p>
            <w:pPr>
              <w:keepNext w:val="0"/>
              <w:keepLines w:val="0"/>
              <w:pageBreakBefore w:val="0"/>
              <w:widowControl/>
              <w:kinsoku/>
              <w:wordWrap/>
              <w:overflowPunct/>
              <w:topLinePunct w:val="0"/>
              <w:bidi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一区：50分/篇</w:t>
            </w: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highlight w:val="none"/>
              </w:rPr>
            </w:pPr>
          </w:p>
        </w:tc>
        <w:tc>
          <w:tcPr>
            <w:tcW w:w="5244" w:type="dxa"/>
            <w:vAlign w:val="center"/>
          </w:tcPr>
          <w:p>
            <w:pPr>
              <w:keepNext w:val="0"/>
              <w:keepLines w:val="0"/>
              <w:pageBreakBefore w:val="0"/>
              <w:kinsoku/>
              <w:wordWrap/>
              <w:overflowPunct/>
              <w:topLinePunct w:val="0"/>
              <w:bidi w:val="0"/>
              <w:adjustRightInd w:val="0"/>
              <w:snapToGrid w:val="0"/>
              <w:spacing w:line="540" w:lineRule="exact"/>
              <w:jc w:val="left"/>
              <w:textAlignment w:val="auto"/>
              <w:rPr>
                <w:rFonts w:ascii="仿宋_GB2312" w:hAnsi="宋体" w:eastAsia="仿宋_GB2312"/>
                <w:kern w:val="0"/>
              </w:rPr>
            </w:pPr>
            <w:r>
              <w:rPr>
                <w:rFonts w:hint="eastAsia" w:ascii="仿宋_GB2312" w:hAnsi="宋体" w:eastAsia="仿宋_GB2312"/>
                <w:kern w:val="0"/>
              </w:rPr>
              <w:t>相应的学术成果，研究生应为第一完成人或导师为第一完成人、研究生为第二完成人；学术成果的第一完成（署名）单位应为中山大学。共同一第一作者按照总分/共同一作人数计算。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227" w:type="dxa"/>
          </w:tcPr>
          <w:p>
            <w:pPr>
              <w:keepNext w:val="0"/>
              <w:keepLines w:val="0"/>
              <w:pageBreakBefore w:val="0"/>
              <w:widowControl/>
              <w:kinsoku/>
              <w:wordWrap/>
              <w:overflowPunct/>
              <w:topLinePunct w:val="0"/>
              <w:bidi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在国内</w:t>
            </w:r>
            <w:r>
              <w:rPr>
                <w:rFonts w:hint="eastAsia" w:ascii="仿宋_GB2312" w:hAnsi="宋体" w:eastAsia="仿宋_GB2312"/>
                <w:kern w:val="0"/>
                <w:highlight w:val="none"/>
                <w:lang w:val="en-US" w:eastAsia="zh-CN"/>
              </w:rPr>
              <w:t>本领域主流学术</w:t>
            </w:r>
            <w:r>
              <w:rPr>
                <w:rFonts w:hint="eastAsia" w:ascii="仿宋_GB2312" w:hAnsi="宋体" w:eastAsia="仿宋_GB2312"/>
                <w:kern w:val="0"/>
                <w:highlight w:val="none"/>
              </w:rPr>
              <w:t>刊物发表</w:t>
            </w:r>
            <w:r>
              <w:rPr>
                <w:rFonts w:hint="eastAsia" w:ascii="黑体" w:hAnsi="黑体" w:eastAsia="黑体" w:cs="黑体"/>
                <w:b/>
                <w:bCs/>
                <w:kern w:val="0"/>
                <w:highlight w:val="none"/>
                <w:lang w:val="en-US" w:eastAsia="zh-CN"/>
              </w:rPr>
              <w:t>高水平论文</w:t>
            </w:r>
            <w:r>
              <w:rPr>
                <w:rFonts w:hint="eastAsia" w:ascii="仿宋_GB2312" w:hAnsi="宋体" w:eastAsia="仿宋_GB2312"/>
                <w:kern w:val="0"/>
                <w:highlight w:val="none"/>
                <w:lang w:val="en-US" w:eastAsia="zh-CN"/>
              </w:rPr>
              <w:t>并被</w:t>
            </w:r>
            <w:r>
              <w:rPr>
                <w:rFonts w:hint="eastAsia" w:ascii="仿宋_GB2312" w:hAnsi="宋体" w:eastAsia="仿宋_GB2312"/>
                <w:kern w:val="0"/>
                <w:highlight w:val="none"/>
              </w:rPr>
              <w:t>收录</w:t>
            </w:r>
          </w:p>
        </w:tc>
        <w:tc>
          <w:tcPr>
            <w:tcW w:w="1843" w:type="dxa"/>
          </w:tcPr>
          <w:p>
            <w:pPr>
              <w:keepNext w:val="0"/>
              <w:keepLines w:val="0"/>
              <w:pageBreakBefore w:val="0"/>
              <w:widowControl/>
              <w:kinsoku/>
              <w:wordWrap/>
              <w:overflowPunct/>
              <w:topLinePunct w:val="0"/>
              <w:bidi w:val="0"/>
              <w:spacing w:line="540" w:lineRule="exact"/>
              <w:textAlignment w:val="auto"/>
              <w:rPr>
                <w:rFonts w:ascii="仿宋_GB2312" w:hAnsi="宋体" w:eastAsia="仿宋_GB2312"/>
                <w:kern w:val="0"/>
                <w:highlight w:val="none"/>
              </w:rPr>
            </w:pPr>
            <w:r>
              <w:rPr>
                <w:rFonts w:ascii="仿宋_GB2312" w:hAnsi="宋体" w:eastAsia="仿宋_GB2312"/>
                <w:kern w:val="0"/>
                <w:highlight w:val="none"/>
              </w:rPr>
              <w:t>30</w:t>
            </w:r>
            <w:r>
              <w:rPr>
                <w:rFonts w:hint="eastAsia" w:ascii="仿宋_GB2312" w:hAnsi="宋体" w:eastAsia="仿宋_GB2312"/>
                <w:kern w:val="0"/>
                <w:highlight w:val="none"/>
              </w:rPr>
              <w:t>分/篇</w:t>
            </w:r>
          </w:p>
        </w:tc>
        <w:tc>
          <w:tcPr>
            <w:tcW w:w="5244" w:type="dxa"/>
          </w:tcPr>
          <w:p>
            <w:pPr>
              <w:keepNext w:val="0"/>
              <w:keepLines w:val="0"/>
              <w:pageBreakBefore w:val="0"/>
              <w:widowControl/>
              <w:kinsoku/>
              <w:wordWrap/>
              <w:overflowPunct/>
              <w:topLinePunct w:val="0"/>
              <w:bidi w:val="0"/>
              <w:spacing w:line="540" w:lineRule="exact"/>
              <w:textAlignment w:val="auto"/>
              <w:rPr>
                <w:rFonts w:ascii="仿宋_GB2312" w:hAnsi="宋体" w:eastAsia="仿宋_GB2312"/>
                <w:kern w:val="0"/>
              </w:rPr>
            </w:pPr>
            <w:r>
              <w:rPr>
                <w:rFonts w:hint="eastAsia" w:ascii="仿宋_GB2312" w:hAnsi="宋体" w:eastAsia="仿宋_GB2312"/>
                <w:kern w:val="0"/>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22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在本领域主流学术刊物收录的</w:t>
            </w:r>
            <w:r>
              <w:rPr>
                <w:rFonts w:hint="eastAsia" w:ascii="黑体" w:hAnsi="黑体" w:eastAsia="黑体" w:cs="黑体"/>
                <w:b/>
                <w:bCs/>
                <w:kern w:val="0"/>
                <w:highlight w:val="none"/>
              </w:rPr>
              <w:t>优秀论文或国际会议论</w:t>
            </w:r>
            <w:r>
              <w:rPr>
                <w:rFonts w:hint="eastAsia" w:ascii="仿宋_GB2312" w:hAnsi="宋体" w:eastAsia="仿宋_GB2312"/>
                <w:kern w:val="0"/>
                <w:highlight w:val="none"/>
              </w:rPr>
              <w:t>文</w:t>
            </w:r>
          </w:p>
        </w:tc>
        <w:tc>
          <w:tcPr>
            <w:tcW w:w="1843"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6分/篇</w:t>
            </w:r>
          </w:p>
        </w:tc>
        <w:tc>
          <w:tcPr>
            <w:tcW w:w="5244"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同上。此项加分上限为12分。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322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在本领域主流学术刊物发表</w:t>
            </w:r>
            <w:r>
              <w:rPr>
                <w:rFonts w:hint="eastAsia" w:ascii="黑体" w:hAnsi="黑体" w:eastAsia="黑体" w:cs="黑体"/>
                <w:b/>
                <w:bCs/>
                <w:kern w:val="0"/>
                <w:highlight w:val="none"/>
              </w:rPr>
              <w:t>论文</w:t>
            </w:r>
          </w:p>
        </w:tc>
        <w:tc>
          <w:tcPr>
            <w:tcW w:w="1843"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highlight w:val="none"/>
              </w:rPr>
            </w:pPr>
            <w:r>
              <w:rPr>
                <w:rFonts w:hint="eastAsia" w:ascii="仿宋_GB2312" w:hAnsi="宋体" w:eastAsia="仿宋_GB2312"/>
                <w:kern w:val="0"/>
                <w:highlight w:val="none"/>
              </w:rPr>
              <w:t>2分/篇</w:t>
            </w:r>
          </w:p>
        </w:tc>
        <w:tc>
          <w:tcPr>
            <w:tcW w:w="5244"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同上。此项加分上限为6分。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3"/>
            <w:tcBorders>
              <w:top w:val="single" w:color="auto" w:sz="4" w:space="0"/>
              <w:left w:val="nil"/>
              <w:bottom w:val="single" w:color="auto" w:sz="4" w:space="0"/>
              <w:right w:val="nil"/>
            </w:tcBorders>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rPr>
            </w:pPr>
            <w:r>
              <w:rPr>
                <w:rFonts w:hint="eastAsia" w:ascii="仿宋_GB2312" w:hAnsi="宋体" w:eastAsia="仿宋_GB2312"/>
                <w:kern w:val="0"/>
                <w:sz w:val="28"/>
              </w:rPr>
              <w:t>2.专利加分</w:t>
            </w: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227"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加分类别</w:t>
            </w:r>
          </w:p>
        </w:tc>
        <w:tc>
          <w:tcPr>
            <w:tcW w:w="1843"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分值</w:t>
            </w:r>
          </w:p>
        </w:tc>
        <w:tc>
          <w:tcPr>
            <w:tcW w:w="5244"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发明专利（已公开）</w:t>
            </w:r>
          </w:p>
        </w:tc>
        <w:tc>
          <w:tcPr>
            <w:tcW w:w="18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ascii="仿宋_GB2312" w:hAnsi="宋体" w:eastAsia="仿宋_GB2312"/>
                <w:kern w:val="0"/>
              </w:rPr>
              <w:t>4</w:t>
            </w:r>
            <w:r>
              <w:rPr>
                <w:rFonts w:hint="eastAsia" w:ascii="仿宋_GB2312" w:hAnsi="宋体" w:eastAsia="仿宋_GB2312"/>
                <w:kern w:val="0"/>
              </w:rPr>
              <w:t>0分</w:t>
            </w:r>
          </w:p>
        </w:tc>
        <w:tc>
          <w:tcPr>
            <w:tcW w:w="5244" w:type="dxa"/>
            <w:vMerge w:val="restart"/>
            <w:tcBorders>
              <w:left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b/>
                <w:kern w:val="0"/>
              </w:rPr>
            </w:pPr>
            <w:r>
              <w:rPr>
                <w:rFonts w:hint="eastAsia" w:ascii="仿宋_GB2312" w:hAnsi="宋体" w:eastAsia="仿宋_GB2312"/>
                <w:kern w:val="0"/>
              </w:rPr>
              <w:t>研究生应为第一发明人；或导师为发明人、研究生为第二发明人；第一申请人（单位）应为中山大学。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rPr>
              <w:t>实用新型专利（已公开）</w:t>
            </w:r>
          </w:p>
        </w:tc>
        <w:tc>
          <w:tcPr>
            <w:tcW w:w="18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ascii="仿宋_GB2312" w:hAnsi="宋体" w:eastAsia="仿宋_GB2312"/>
                <w:kern w:val="0"/>
              </w:rPr>
              <w:t>10</w:t>
            </w:r>
            <w:r>
              <w:rPr>
                <w:rFonts w:hint="eastAsia" w:ascii="仿宋_GB2312" w:hAnsi="宋体" w:eastAsia="仿宋_GB2312"/>
                <w:kern w:val="0"/>
              </w:rPr>
              <w:t>分</w:t>
            </w:r>
          </w:p>
        </w:tc>
        <w:tc>
          <w:tcPr>
            <w:tcW w:w="5244" w:type="dxa"/>
            <w:vMerge w:val="continue"/>
            <w:tcBorders>
              <w:left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rPr>
            </w:pPr>
            <w:r>
              <w:rPr>
                <w:rFonts w:hint="eastAsia" w:ascii="仿宋_GB2312" w:hAnsi="宋体" w:eastAsia="仿宋_GB2312"/>
                <w:kern w:val="0"/>
                <w:szCs w:val="28"/>
              </w:rPr>
              <w:t>计算机软件著作权（已登记）</w:t>
            </w:r>
          </w:p>
        </w:tc>
        <w:tc>
          <w:tcPr>
            <w:tcW w:w="184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textAlignment w:val="auto"/>
              <w:rPr>
                <w:rFonts w:hint="eastAsia" w:ascii="仿宋_GB2312" w:hAnsi="宋体" w:eastAsia="仿宋_GB2312"/>
                <w:kern w:val="0"/>
                <w:lang w:val="en-US" w:eastAsia="zh-CN"/>
              </w:rPr>
            </w:pPr>
            <w:r>
              <w:rPr>
                <w:rFonts w:ascii="仿宋_GB2312" w:hAnsi="宋体" w:eastAsia="仿宋_GB2312"/>
                <w:kern w:val="0"/>
              </w:rPr>
              <w:t>10</w:t>
            </w:r>
            <w:r>
              <w:rPr>
                <w:rFonts w:hint="eastAsia" w:ascii="仿宋_GB2312" w:hAnsi="宋体" w:eastAsia="仿宋_GB2312"/>
                <w:kern w:val="0"/>
                <w:lang w:val="en-US" w:eastAsia="zh-CN"/>
              </w:rPr>
              <w:t>分</w:t>
            </w:r>
          </w:p>
        </w:tc>
        <w:tc>
          <w:tcPr>
            <w:tcW w:w="5244"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p>
        </w:tc>
      </w:tr>
    </w:tbl>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rPr>
      </w:pPr>
      <w:r>
        <w:rPr>
          <w:rFonts w:ascii="仿宋_GB2312" w:hAnsi="宋体" w:eastAsia="仿宋_GB2312"/>
          <w:kern w:val="0"/>
          <w:sz w:val="28"/>
        </w:rPr>
        <w:t>3</w:t>
      </w:r>
      <w:r>
        <w:rPr>
          <w:rFonts w:hint="eastAsia" w:ascii="仿宋_GB2312" w:hAnsi="宋体" w:eastAsia="仿宋_GB2312"/>
          <w:kern w:val="0"/>
          <w:sz w:val="28"/>
        </w:rPr>
        <w:t>.科技奖励加分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gridCol w:w="3357"/>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奖励级别</w:t>
            </w:r>
          </w:p>
        </w:tc>
        <w:tc>
          <w:tcPr>
            <w:tcW w:w="335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分值</w:t>
            </w:r>
          </w:p>
        </w:tc>
        <w:tc>
          <w:tcPr>
            <w:tcW w:w="335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356"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国家级</w:t>
            </w:r>
          </w:p>
        </w:tc>
        <w:tc>
          <w:tcPr>
            <w:tcW w:w="335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一等：</w:t>
            </w:r>
            <w:r>
              <w:rPr>
                <w:rFonts w:ascii="仿宋_GB2312" w:hAnsi="宋体" w:eastAsia="仿宋_GB2312"/>
                <w:kern w:val="0"/>
              </w:rPr>
              <w:t>100</w:t>
            </w:r>
            <w:r>
              <w:rPr>
                <w:rFonts w:hint="eastAsia" w:ascii="仿宋_GB2312" w:hAnsi="宋体" w:eastAsia="仿宋_GB2312"/>
                <w:kern w:val="0"/>
              </w:rPr>
              <w:t>分</w:t>
            </w:r>
          </w:p>
          <w:p>
            <w:pPr>
              <w:keepNext w:val="0"/>
              <w:keepLines w:val="0"/>
              <w:pageBreakBefore w:val="0"/>
              <w:kinsoku/>
              <w:wordWrap/>
              <w:overflowPunct/>
              <w:topLinePunct w:val="0"/>
              <w:bidi w:val="0"/>
              <w:adjustRightInd w:val="0"/>
              <w:snapToGrid w:val="0"/>
              <w:spacing w:line="540" w:lineRule="exact"/>
              <w:textAlignment w:val="auto"/>
              <w:rPr>
                <w:rFonts w:hint="eastAsia" w:ascii="仿宋_GB2312" w:hAnsi="宋体" w:eastAsia="仿宋_GB2312"/>
                <w:kern w:val="0"/>
              </w:rPr>
            </w:pPr>
            <w:r>
              <w:rPr>
                <w:rFonts w:hint="eastAsia" w:ascii="仿宋_GB2312" w:hAnsi="宋体" w:eastAsia="仿宋_GB2312"/>
                <w:kern w:val="0"/>
              </w:rPr>
              <w:t>二等：6</w:t>
            </w:r>
            <w:r>
              <w:rPr>
                <w:rFonts w:ascii="仿宋_GB2312" w:hAnsi="宋体" w:eastAsia="仿宋_GB2312"/>
                <w:kern w:val="0"/>
              </w:rPr>
              <w:t>0</w:t>
            </w:r>
            <w:r>
              <w:rPr>
                <w:rFonts w:hint="eastAsia" w:ascii="仿宋_GB2312" w:hAnsi="宋体" w:eastAsia="仿宋_GB2312"/>
                <w:kern w:val="0"/>
              </w:rPr>
              <w:t>分</w:t>
            </w:r>
          </w:p>
        </w:tc>
        <w:tc>
          <w:tcPr>
            <w:tcW w:w="3357" w:type="dxa"/>
            <w:vMerge w:val="restart"/>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w:t>
            </w:r>
            <w:r>
              <w:rPr>
                <w:rFonts w:ascii="仿宋_GB2312" w:hAnsi="宋体" w:eastAsia="仿宋_GB2312"/>
                <w:kern w:val="0"/>
              </w:rPr>
              <w:t>1</w:t>
            </w:r>
            <w:r>
              <w:rPr>
                <w:rFonts w:hint="eastAsia" w:ascii="仿宋_GB2312" w:hAnsi="宋体" w:eastAsia="仿宋_GB2312"/>
                <w:kern w:val="0"/>
              </w:rPr>
              <w:t>）得分按照总分数/获奖人数计</w:t>
            </w:r>
            <w:r>
              <w:rPr>
                <w:rFonts w:ascii="仿宋_GB2312" w:hAnsi="宋体" w:eastAsia="仿宋_GB2312"/>
                <w:kern w:val="0"/>
              </w:rPr>
              <w:t>；</w:t>
            </w:r>
            <w:r>
              <w:rPr>
                <w:rFonts w:hint="eastAsia" w:ascii="仿宋_GB2312" w:hAnsi="宋体" w:eastAsia="仿宋_GB2312"/>
                <w:kern w:val="0"/>
              </w:rPr>
              <w:t>（</w:t>
            </w:r>
            <w:r>
              <w:rPr>
                <w:rFonts w:ascii="仿宋_GB2312" w:hAnsi="宋体" w:eastAsia="仿宋_GB2312"/>
                <w:kern w:val="0"/>
              </w:rPr>
              <w:t>2</w:t>
            </w:r>
            <w:r>
              <w:rPr>
                <w:rFonts w:hint="eastAsia" w:ascii="仿宋_GB2312" w:hAnsi="宋体" w:eastAsia="仿宋_GB2312"/>
                <w:kern w:val="0"/>
              </w:rPr>
              <w:t>）科技奖励作为成果时需要提供获奖证书证明。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省部级</w:t>
            </w:r>
          </w:p>
        </w:tc>
        <w:tc>
          <w:tcPr>
            <w:tcW w:w="335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一等：</w:t>
            </w:r>
            <w:r>
              <w:rPr>
                <w:rFonts w:ascii="仿宋_GB2312" w:hAnsi="宋体" w:eastAsia="仿宋_GB2312"/>
                <w:kern w:val="0"/>
              </w:rPr>
              <w:t>40</w:t>
            </w: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二等：2</w:t>
            </w:r>
            <w:r>
              <w:rPr>
                <w:rFonts w:ascii="仿宋_GB2312" w:hAnsi="宋体" w:eastAsia="仿宋_GB2312"/>
                <w:kern w:val="0"/>
              </w:rPr>
              <w:t>0</w:t>
            </w:r>
          </w:p>
        </w:tc>
        <w:tc>
          <w:tcPr>
            <w:tcW w:w="3357" w:type="dxa"/>
            <w:vMerge w:val="continue"/>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p>
        </w:tc>
      </w:tr>
    </w:tbl>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szCs w:val="28"/>
        </w:rPr>
      </w:pP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rPr>
      </w:pPr>
      <w:r>
        <w:rPr>
          <w:rFonts w:ascii="仿宋_GB2312" w:hAnsi="宋体" w:eastAsia="仿宋_GB2312"/>
          <w:kern w:val="0"/>
          <w:sz w:val="28"/>
        </w:rPr>
        <w:t>4</w:t>
      </w:r>
      <w:r>
        <w:rPr>
          <w:rFonts w:hint="eastAsia" w:ascii="仿宋_GB2312" w:hAnsi="宋体" w:eastAsia="仿宋_GB2312"/>
          <w:kern w:val="0"/>
          <w:sz w:val="28"/>
        </w:rPr>
        <w:t>.工程成果</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2655"/>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成果类型</w:t>
            </w:r>
          </w:p>
        </w:tc>
        <w:tc>
          <w:tcPr>
            <w:tcW w:w="2655"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分值</w:t>
            </w:r>
          </w:p>
        </w:tc>
        <w:tc>
          <w:tcPr>
            <w:tcW w:w="5138"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2277"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新方法、新工艺、新装备等</w:t>
            </w:r>
          </w:p>
        </w:tc>
        <w:tc>
          <w:tcPr>
            <w:tcW w:w="2655"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国家级：6</w:t>
            </w:r>
            <w:r>
              <w:rPr>
                <w:rFonts w:ascii="仿宋_GB2312" w:hAnsi="宋体" w:eastAsia="仿宋_GB2312"/>
                <w:kern w:val="0"/>
              </w:rPr>
              <w:t>0</w:t>
            </w:r>
            <w:r>
              <w:rPr>
                <w:rFonts w:hint="eastAsia" w:ascii="仿宋_GB2312" w:hAnsi="宋体" w:eastAsia="仿宋_GB2312"/>
                <w:kern w:val="0"/>
              </w:rPr>
              <w:t>分</w:t>
            </w:r>
          </w:p>
          <w:p>
            <w:pPr>
              <w:keepNext w:val="0"/>
              <w:keepLines w:val="0"/>
              <w:pageBreakBefore w:val="0"/>
              <w:kinsoku/>
              <w:wordWrap/>
              <w:overflowPunct/>
              <w:topLinePunct w:val="0"/>
              <w:bidi w:val="0"/>
              <w:adjustRightInd w:val="0"/>
              <w:snapToGrid w:val="0"/>
              <w:spacing w:line="540" w:lineRule="exact"/>
              <w:textAlignment w:val="auto"/>
              <w:rPr>
                <w:rFonts w:hint="eastAsia" w:ascii="仿宋_GB2312" w:hAnsi="宋体" w:eastAsia="仿宋_GB2312"/>
                <w:kern w:val="0"/>
              </w:rPr>
            </w:pPr>
            <w:r>
              <w:rPr>
                <w:rFonts w:hint="eastAsia" w:ascii="仿宋_GB2312" w:hAnsi="宋体" w:eastAsia="仿宋_GB2312"/>
                <w:kern w:val="0"/>
              </w:rPr>
              <w:t>省部级：5</w:t>
            </w:r>
            <w:r>
              <w:rPr>
                <w:rFonts w:ascii="仿宋_GB2312" w:hAnsi="宋体" w:eastAsia="仿宋_GB2312"/>
                <w:kern w:val="0"/>
              </w:rPr>
              <w:t>0</w:t>
            </w:r>
            <w:r>
              <w:rPr>
                <w:rFonts w:hint="eastAsia" w:ascii="仿宋_GB2312" w:hAnsi="宋体" w:eastAsia="仿宋_GB2312"/>
                <w:kern w:val="0"/>
              </w:rPr>
              <w:t>分</w:t>
            </w:r>
          </w:p>
        </w:tc>
        <w:tc>
          <w:tcPr>
            <w:tcW w:w="5138" w:type="dxa"/>
          </w:tcPr>
          <w:p>
            <w:pPr>
              <w:keepNext w:val="0"/>
              <w:keepLines w:val="0"/>
              <w:pageBreakBefore w:val="0"/>
              <w:kinsoku/>
              <w:wordWrap/>
              <w:overflowPunct/>
              <w:topLinePunct w:val="0"/>
              <w:bidi w:val="0"/>
              <w:adjustRightInd w:val="0"/>
              <w:snapToGrid w:val="0"/>
              <w:spacing w:line="540" w:lineRule="exact"/>
              <w:textAlignment w:val="auto"/>
              <w:rPr>
                <w:rFonts w:hint="eastAsia" w:ascii="仿宋_GB2312" w:hAnsi="宋体" w:eastAsia="仿宋_GB2312"/>
                <w:kern w:val="0"/>
              </w:rPr>
            </w:pPr>
            <w:r>
              <w:rPr>
                <w:rFonts w:hint="eastAsia" w:ascii="仿宋_GB2312" w:hAnsi="宋体" w:eastAsia="仿宋_GB2312"/>
                <w:kern w:val="0"/>
              </w:rPr>
              <w:t>（</w:t>
            </w:r>
            <w:r>
              <w:rPr>
                <w:rFonts w:ascii="仿宋_GB2312" w:hAnsi="宋体" w:eastAsia="仿宋_GB2312"/>
                <w:kern w:val="0"/>
              </w:rPr>
              <w:t>1）</w:t>
            </w:r>
            <w:r>
              <w:rPr>
                <w:rFonts w:hint="eastAsia" w:ascii="仿宋_GB2312" w:hAnsi="宋体" w:eastAsia="仿宋_GB2312"/>
                <w:kern w:val="0"/>
              </w:rPr>
              <w:t>采用新方法、新工艺、新装备等，解决了与学位论文相关的工程技术难题，效果明显，通过专家评审，具有成果鉴定证书等；（</w:t>
            </w:r>
            <w:r>
              <w:rPr>
                <w:rFonts w:ascii="仿宋_GB2312" w:hAnsi="宋体" w:eastAsia="仿宋_GB2312"/>
                <w:kern w:val="0"/>
              </w:rPr>
              <w:t>2）</w:t>
            </w:r>
            <w:r>
              <w:rPr>
                <w:rFonts w:hint="eastAsia" w:ascii="仿宋_GB2312" w:hAnsi="宋体" w:eastAsia="仿宋_GB2312"/>
                <w:kern w:val="0"/>
              </w:rPr>
              <w:t>具体认定由奖学金评定委员会完成，分值由评定小组打分产生；（</w:t>
            </w:r>
            <w:r>
              <w:rPr>
                <w:rFonts w:ascii="仿宋_GB2312" w:hAnsi="宋体" w:eastAsia="仿宋_GB2312"/>
                <w:kern w:val="0"/>
              </w:rPr>
              <w:t>3）</w:t>
            </w:r>
            <w:r>
              <w:rPr>
                <w:rFonts w:hint="eastAsia" w:ascii="仿宋_GB2312" w:hAnsi="宋体" w:eastAsia="仿宋_GB2312"/>
                <w:kern w:val="0"/>
              </w:rPr>
              <w:t>每名申请者只限报一项；（4）国家级取前1</w:t>
            </w:r>
            <w:r>
              <w:rPr>
                <w:rFonts w:ascii="仿宋_GB2312" w:hAnsi="宋体" w:eastAsia="仿宋_GB2312"/>
                <w:kern w:val="0"/>
              </w:rPr>
              <w:t>0</w:t>
            </w:r>
            <w:r>
              <w:rPr>
                <w:rFonts w:hint="eastAsia" w:ascii="仿宋_GB2312" w:hAnsi="宋体" w:eastAsia="仿宋_GB2312"/>
                <w:kern w:val="0"/>
              </w:rPr>
              <w:t>名，省部级取前5名，得分为总分/人数。</w:t>
            </w:r>
          </w:p>
        </w:tc>
      </w:tr>
    </w:tbl>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szCs w:val="28"/>
        </w:rPr>
      </w:pP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rPr>
      </w:pPr>
      <w:r>
        <w:rPr>
          <w:rFonts w:ascii="仿宋_GB2312" w:hAnsi="宋体" w:eastAsia="仿宋_GB2312"/>
          <w:kern w:val="0"/>
          <w:sz w:val="28"/>
        </w:rPr>
        <w:t>5</w:t>
      </w:r>
      <w:r>
        <w:rPr>
          <w:rFonts w:hint="eastAsia" w:ascii="仿宋_GB2312" w:hAnsi="宋体" w:eastAsia="仿宋_GB2312"/>
          <w:kern w:val="0"/>
          <w:sz w:val="28"/>
        </w:rPr>
        <w:t>.涉密项目研究报告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6"/>
        <w:gridCol w:w="2011"/>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成果类型</w:t>
            </w:r>
          </w:p>
        </w:tc>
        <w:tc>
          <w:tcPr>
            <w:tcW w:w="2011"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分值</w:t>
            </w:r>
          </w:p>
        </w:tc>
        <w:tc>
          <w:tcPr>
            <w:tcW w:w="4703"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356"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国家项目报告，已被采纳</w:t>
            </w:r>
          </w:p>
        </w:tc>
        <w:tc>
          <w:tcPr>
            <w:tcW w:w="2011"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ascii="仿宋_GB2312" w:hAnsi="宋体" w:eastAsia="仿宋_GB2312"/>
                <w:kern w:val="0"/>
              </w:rPr>
              <w:t>40</w:t>
            </w:r>
          </w:p>
        </w:tc>
        <w:tc>
          <w:tcPr>
            <w:tcW w:w="4703" w:type="dxa"/>
            <w:vMerge w:val="restart"/>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w:t>
            </w:r>
            <w:r>
              <w:rPr>
                <w:rFonts w:ascii="仿宋_GB2312" w:hAnsi="宋体" w:eastAsia="仿宋_GB2312"/>
                <w:kern w:val="0"/>
              </w:rPr>
              <w:t>1</w:t>
            </w:r>
            <w:r>
              <w:rPr>
                <w:rFonts w:hint="eastAsia" w:ascii="仿宋_GB2312" w:hAnsi="宋体" w:eastAsia="仿宋_GB2312"/>
                <w:kern w:val="0"/>
              </w:rPr>
              <w:t>）申请者必须为涉密人员，从事涉密课题；（</w:t>
            </w:r>
            <w:r>
              <w:rPr>
                <w:rFonts w:ascii="仿宋_GB2312" w:hAnsi="宋体" w:eastAsia="仿宋_GB2312"/>
                <w:kern w:val="0"/>
              </w:rPr>
              <w:t>2）</w:t>
            </w:r>
            <w:r>
              <w:rPr>
                <w:rFonts w:hint="eastAsia" w:ascii="仿宋_GB2312" w:hAnsi="宋体" w:eastAsia="仿宋_GB2312"/>
                <w:kern w:val="0"/>
              </w:rPr>
              <w:t>研究生应为第一完成人或导师为第一完成人、研究生为第二完成人；（3）项目成果必须有中山大学先进技术研究院出具的证明。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356"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省部级项目报告，已被采纳</w:t>
            </w:r>
          </w:p>
        </w:tc>
        <w:tc>
          <w:tcPr>
            <w:tcW w:w="2011"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ascii="仿宋_GB2312" w:hAnsi="宋体" w:eastAsia="仿宋_GB2312"/>
                <w:kern w:val="0"/>
              </w:rPr>
              <w:t>30</w:t>
            </w:r>
          </w:p>
        </w:tc>
        <w:tc>
          <w:tcPr>
            <w:tcW w:w="4703" w:type="dxa"/>
            <w:vMerge w:val="continue"/>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p>
        </w:tc>
      </w:tr>
    </w:tbl>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说明：</w:t>
      </w:r>
    </w:p>
    <w:p>
      <w:pPr>
        <w:keepNext w:val="0"/>
        <w:keepLines w:val="0"/>
        <w:pageBreakBefore w:val="0"/>
        <w:numPr>
          <w:ilvl w:val="255"/>
          <w:numId w:val="0"/>
        </w:numPr>
        <w:kinsoku/>
        <w:wordWrap/>
        <w:overflowPunct/>
        <w:topLinePunct w:val="0"/>
        <w:bidi w:val="0"/>
        <w:adjustRightInd w:val="0"/>
        <w:snapToGrid w:val="0"/>
        <w:spacing w:line="540" w:lineRule="exact"/>
        <w:ind w:firstLine="560" w:firstLineChars="200"/>
        <w:textAlignment w:val="auto"/>
        <w:rPr>
          <w:rFonts w:ascii="仿宋_GB2312" w:hAnsi="宋体" w:eastAsia="仿宋_GB2312"/>
          <w:kern w:val="0"/>
          <w:sz w:val="28"/>
          <w:szCs w:val="28"/>
        </w:rPr>
      </w:pPr>
      <w:r>
        <w:rPr>
          <w:rFonts w:hint="eastAsia" w:ascii="仿宋_GB2312" w:hAnsi="宋体" w:eastAsia="仿宋_GB2312"/>
          <w:kern w:val="0"/>
          <w:sz w:val="28"/>
          <w:szCs w:val="28"/>
        </w:rPr>
        <w:t>(1)加分论文、科技成果、专利必须是评奖年度正式发表，或已被期刊编辑部录用(必须有录用证明)，必须经过导师审核并签名。学术成果内容必须与本人学业相关；学术成果第一单位必须是中山大学。</w:t>
      </w:r>
    </w:p>
    <w:p>
      <w:pPr>
        <w:keepNext w:val="0"/>
        <w:keepLines w:val="0"/>
        <w:pageBreakBefore w:val="0"/>
        <w:numPr>
          <w:ilvl w:val="255"/>
          <w:numId w:val="0"/>
        </w:numPr>
        <w:kinsoku/>
        <w:wordWrap/>
        <w:overflowPunct/>
        <w:topLinePunct w:val="0"/>
        <w:bidi w:val="0"/>
        <w:adjustRightInd w:val="0"/>
        <w:snapToGrid w:val="0"/>
        <w:spacing w:line="540" w:lineRule="exact"/>
        <w:ind w:firstLine="560" w:firstLineChars="200"/>
        <w:textAlignment w:val="auto"/>
        <w:rPr>
          <w:rFonts w:ascii="仿宋_GB2312" w:hAnsi="宋体" w:eastAsia="仿宋_GB2312"/>
          <w:kern w:val="0"/>
          <w:sz w:val="28"/>
          <w:szCs w:val="28"/>
        </w:rPr>
      </w:pPr>
      <w:r>
        <w:rPr>
          <w:rFonts w:hint="eastAsia" w:ascii="仿宋_GB2312" w:hAnsi="宋体" w:eastAsia="仿宋_GB2312"/>
          <w:kern w:val="0"/>
          <w:sz w:val="28"/>
          <w:szCs w:val="28"/>
        </w:rPr>
        <w:t>(2)已参加过上一学年度综合测评加分的论文、科研成果和专利，不得再次加分。</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ascii="仿宋_GB2312" w:hAnsi="宋体" w:eastAsia="仿宋_GB2312"/>
          <w:kern w:val="0"/>
          <w:sz w:val="28"/>
          <w:szCs w:val="28"/>
        </w:rPr>
        <w:t>4</w:t>
      </w:r>
      <w:r>
        <w:rPr>
          <w:rFonts w:hint="eastAsia" w:ascii="仿宋_GB2312" w:hAnsi="宋体" w:eastAsia="仿宋_GB2312"/>
          <w:kern w:val="0"/>
          <w:sz w:val="28"/>
          <w:szCs w:val="28"/>
        </w:rPr>
        <w:t>.论文加分</w:t>
      </w:r>
    </w:p>
    <w:p>
      <w:pPr>
        <w:keepNext w:val="0"/>
        <w:keepLines w:val="0"/>
        <w:pageBreakBefore w:val="0"/>
        <w:numPr>
          <w:ilvl w:val="255"/>
          <w:numId w:val="0"/>
        </w:numPr>
        <w:kinsoku/>
        <w:wordWrap/>
        <w:overflowPunct/>
        <w:topLinePunct w:val="0"/>
        <w:bidi w:val="0"/>
        <w:adjustRightInd w:val="0"/>
        <w:snapToGrid w:val="0"/>
        <w:spacing w:line="540" w:lineRule="exact"/>
        <w:ind w:firstLine="560" w:firstLineChars="200"/>
        <w:textAlignment w:val="auto"/>
        <w:rPr>
          <w:rFonts w:ascii="仿宋_GB2312" w:hAnsi="宋体" w:eastAsia="仿宋_GB2312"/>
          <w:kern w:val="0"/>
          <w:sz w:val="28"/>
          <w:szCs w:val="28"/>
        </w:rPr>
      </w:pPr>
      <w:r>
        <w:rPr>
          <w:rFonts w:hint="eastAsia" w:ascii="仿宋_GB2312" w:hAnsi="宋体" w:eastAsia="仿宋_GB2312"/>
          <w:kern w:val="0"/>
          <w:sz w:val="28"/>
          <w:szCs w:val="28"/>
        </w:rPr>
        <w:t>（3）国家或地方政府公派出国（境）联合培养，或与国内其他单位有明确联合培养协议的研究生，在联合培养期间取得的学术成果，申请人应为第一完成人，中山大学至少须为第二署名单位。</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b/>
          <w:kern w:val="0"/>
          <w:sz w:val="28"/>
          <w:szCs w:val="28"/>
        </w:rPr>
      </w:pP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b/>
          <w:kern w:val="0"/>
          <w:sz w:val="28"/>
          <w:szCs w:val="28"/>
        </w:rPr>
      </w:pPr>
      <w:r>
        <w:rPr>
          <w:rFonts w:hint="eastAsia" w:ascii="仿宋_GB2312" w:hAnsi="宋体" w:eastAsia="仿宋_GB2312"/>
          <w:b/>
          <w:kern w:val="0"/>
          <w:sz w:val="28"/>
          <w:szCs w:val="28"/>
        </w:rPr>
        <w:t>（二）学术活动加分</w:t>
      </w:r>
    </w:p>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1.学术会议加分</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41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加分类别</w:t>
            </w:r>
          </w:p>
        </w:tc>
        <w:tc>
          <w:tcPr>
            <w:tcW w:w="2410"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分值</w:t>
            </w:r>
          </w:p>
        </w:tc>
        <w:tc>
          <w:tcPr>
            <w:tcW w:w="5386"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660"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rPr>
              <w:t>参加行业内国际学术会议</w:t>
            </w:r>
          </w:p>
        </w:tc>
        <w:tc>
          <w:tcPr>
            <w:tcW w:w="2410"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做报告，每次3分</w:t>
            </w:r>
          </w:p>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rPr>
              <w:t>做墙报，每次2分</w:t>
            </w:r>
          </w:p>
        </w:tc>
        <w:tc>
          <w:tcPr>
            <w:tcW w:w="5386" w:type="dxa"/>
          </w:tcPr>
          <w:p>
            <w:pPr>
              <w:keepNext w:val="0"/>
              <w:keepLines w:val="0"/>
              <w:pageBreakBefore w:val="0"/>
              <w:kinsoku/>
              <w:wordWrap/>
              <w:overflowPunct/>
              <w:topLinePunct w:val="0"/>
              <w:bidi w:val="0"/>
              <w:adjustRightInd w:val="0"/>
              <w:snapToGrid w:val="0"/>
              <w:spacing w:line="540" w:lineRule="exact"/>
              <w:jc w:val="left"/>
              <w:textAlignment w:val="auto"/>
              <w:rPr>
                <w:rFonts w:ascii="仿宋_GB2312" w:hAnsi="宋体" w:eastAsia="仿宋_GB2312"/>
                <w:kern w:val="0"/>
                <w:szCs w:val="28"/>
              </w:rPr>
            </w:pPr>
            <w:r>
              <w:rPr>
                <w:rFonts w:hint="eastAsia" w:ascii="仿宋_GB2312" w:hAnsi="宋体" w:eastAsia="仿宋_GB2312"/>
                <w:kern w:val="0"/>
              </w:rPr>
              <w:t>需是第一作者，或者导师第一作者、学生第二作者，提供会议论文集封面、邀请函、含有学生所发表论文的目录及论文首页，若作口头报告须提供含学生口头报告的会议时间表。此项加分上限6分。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660" w:type="dxa"/>
          </w:tcPr>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rPr>
              <w:t>参加全国学术会议</w:t>
            </w:r>
          </w:p>
        </w:tc>
        <w:tc>
          <w:tcPr>
            <w:tcW w:w="2410" w:type="dxa"/>
          </w:tcPr>
          <w:p>
            <w:pPr>
              <w:keepNext w:val="0"/>
              <w:keepLines w:val="0"/>
              <w:pageBreakBefore w:val="0"/>
              <w:kinsoku/>
              <w:wordWrap/>
              <w:overflowPunct/>
              <w:topLinePunct w:val="0"/>
              <w:bidi w:val="0"/>
              <w:adjustRightInd w:val="0"/>
              <w:snapToGrid w:val="0"/>
              <w:spacing w:line="540" w:lineRule="exact"/>
              <w:textAlignment w:val="auto"/>
              <w:rPr>
                <w:rFonts w:ascii="仿宋_GB2312" w:hAnsi="宋体" w:eastAsia="仿宋_GB2312"/>
                <w:kern w:val="0"/>
              </w:rPr>
            </w:pPr>
            <w:r>
              <w:rPr>
                <w:rFonts w:hint="eastAsia" w:ascii="仿宋_GB2312" w:hAnsi="宋体" w:eastAsia="仿宋_GB2312"/>
                <w:kern w:val="0"/>
              </w:rPr>
              <w:t>做报告，每次2分</w:t>
            </w:r>
          </w:p>
          <w:p>
            <w:pPr>
              <w:keepNext w:val="0"/>
              <w:keepLines w:val="0"/>
              <w:pageBreakBefore w:val="0"/>
              <w:kinsoku/>
              <w:wordWrap/>
              <w:overflowPunct/>
              <w:topLinePunct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rPr>
              <w:t>做墙报，每次1分</w:t>
            </w:r>
          </w:p>
        </w:tc>
        <w:tc>
          <w:tcPr>
            <w:tcW w:w="5386" w:type="dxa"/>
          </w:tcPr>
          <w:p>
            <w:pPr>
              <w:keepNext w:val="0"/>
              <w:keepLines w:val="0"/>
              <w:pageBreakBefore w:val="0"/>
              <w:kinsoku/>
              <w:wordWrap/>
              <w:overflowPunct/>
              <w:topLinePunct w:val="0"/>
              <w:bidi w:val="0"/>
              <w:adjustRightInd w:val="0"/>
              <w:snapToGrid w:val="0"/>
              <w:spacing w:line="540" w:lineRule="exact"/>
              <w:jc w:val="left"/>
              <w:textAlignment w:val="auto"/>
              <w:rPr>
                <w:rFonts w:ascii="仿宋_GB2312" w:hAnsi="宋体" w:eastAsia="仿宋_GB2312"/>
                <w:kern w:val="0"/>
                <w:szCs w:val="28"/>
              </w:rPr>
            </w:pPr>
            <w:r>
              <w:rPr>
                <w:rFonts w:hint="eastAsia" w:ascii="仿宋_GB2312" w:hAnsi="宋体" w:eastAsia="仿宋_GB2312"/>
                <w:kern w:val="0"/>
              </w:rPr>
              <w:t>需是第一作者，或者导师第一作者，学生第二作者，需提供会议论文集封面、邀请函、含有学生所发表论文的目录、论文首页、含学生口头报告的会议时间表。此项加分上限4分。</w:t>
            </w:r>
          </w:p>
        </w:tc>
      </w:tr>
    </w:tbl>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2.学科竞赛加分</w:t>
      </w:r>
    </w:p>
    <w:tbl>
      <w:tblPr>
        <w:tblStyle w:val="7"/>
        <w:tblW w:w="10490" w:type="dxa"/>
        <w:tblInd w:w="-137" w:type="dxa"/>
        <w:tblLayout w:type="fixed"/>
        <w:tblCellMar>
          <w:top w:w="0" w:type="dxa"/>
          <w:left w:w="108" w:type="dxa"/>
          <w:bottom w:w="0" w:type="dxa"/>
          <w:right w:w="108" w:type="dxa"/>
        </w:tblCellMar>
      </w:tblPr>
      <w:tblGrid>
        <w:gridCol w:w="568"/>
        <w:gridCol w:w="708"/>
        <w:gridCol w:w="709"/>
        <w:gridCol w:w="709"/>
        <w:gridCol w:w="992"/>
        <w:gridCol w:w="618"/>
        <w:gridCol w:w="750"/>
        <w:gridCol w:w="390"/>
        <w:gridCol w:w="652"/>
        <w:gridCol w:w="567"/>
        <w:gridCol w:w="563"/>
        <w:gridCol w:w="429"/>
        <w:gridCol w:w="567"/>
        <w:gridCol w:w="567"/>
        <w:gridCol w:w="425"/>
        <w:gridCol w:w="567"/>
        <w:gridCol w:w="709"/>
      </w:tblGrid>
      <w:tr>
        <w:tblPrEx>
          <w:tblCellMar>
            <w:top w:w="0" w:type="dxa"/>
            <w:left w:w="108" w:type="dxa"/>
            <w:bottom w:w="0" w:type="dxa"/>
            <w:right w:w="108" w:type="dxa"/>
          </w:tblCellMar>
        </w:tblPrEx>
        <w:trPr>
          <w:trHeight w:val="499" w:hRule="atLeast"/>
        </w:trPr>
        <w:tc>
          <w:tcPr>
            <w:tcW w:w="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级别</w:t>
            </w:r>
          </w:p>
        </w:tc>
        <w:tc>
          <w:tcPr>
            <w:tcW w:w="311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国际级</w:t>
            </w:r>
          </w:p>
        </w:tc>
        <w:tc>
          <w:tcPr>
            <w:tcW w:w="2410"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国家级</w:t>
            </w:r>
          </w:p>
        </w:tc>
        <w:tc>
          <w:tcPr>
            <w:tcW w:w="2126"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省级</w:t>
            </w:r>
          </w:p>
        </w:tc>
        <w:tc>
          <w:tcPr>
            <w:tcW w:w="2268"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校级</w:t>
            </w:r>
          </w:p>
        </w:tc>
      </w:tr>
      <w:tr>
        <w:tblPrEx>
          <w:tblCellMar>
            <w:top w:w="0" w:type="dxa"/>
            <w:left w:w="108" w:type="dxa"/>
            <w:bottom w:w="0" w:type="dxa"/>
            <w:right w:w="108" w:type="dxa"/>
          </w:tblCellMar>
        </w:tblPrEx>
        <w:trPr>
          <w:trHeight w:val="558" w:hRule="atLeast"/>
        </w:trPr>
        <w:tc>
          <w:tcPr>
            <w:tcW w:w="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等级</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一/冠军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二/亚军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三/季军</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第 4名/</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单项奖</w:t>
            </w:r>
          </w:p>
        </w:tc>
        <w:tc>
          <w:tcPr>
            <w:tcW w:w="6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一/冠军</w:t>
            </w:r>
          </w:p>
        </w:tc>
        <w:tc>
          <w:tcPr>
            <w:tcW w:w="7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二/亚军</w:t>
            </w:r>
          </w:p>
        </w:tc>
        <w:tc>
          <w:tcPr>
            <w:tcW w:w="3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三/季军</w:t>
            </w:r>
          </w:p>
        </w:tc>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第 4名/</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单项奖</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一/冠军</w:t>
            </w:r>
          </w:p>
        </w:tc>
        <w:tc>
          <w:tcPr>
            <w:tcW w:w="5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二/亚军</w:t>
            </w:r>
          </w:p>
        </w:tc>
        <w:tc>
          <w:tcPr>
            <w:tcW w:w="42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三/季军</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第 4名/</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单项奖</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一/冠军</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二/亚军</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三/季军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第 4名/</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单项奖</w:t>
            </w:r>
          </w:p>
        </w:tc>
      </w:tr>
      <w:tr>
        <w:tblPrEx>
          <w:tblCellMar>
            <w:top w:w="0" w:type="dxa"/>
            <w:left w:w="108" w:type="dxa"/>
            <w:bottom w:w="0" w:type="dxa"/>
            <w:right w:w="108" w:type="dxa"/>
          </w:tblCellMar>
        </w:tblPrEx>
        <w:trPr>
          <w:trHeight w:val="551" w:hRule="atLeast"/>
        </w:trPr>
        <w:tc>
          <w:tcPr>
            <w:tcW w:w="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加分</w:t>
            </w:r>
          </w:p>
        </w:tc>
        <w:tc>
          <w:tcPr>
            <w:tcW w:w="70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40</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30</w:t>
            </w:r>
          </w:p>
        </w:tc>
        <w:tc>
          <w:tcPr>
            <w:tcW w:w="7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26</w:t>
            </w:r>
          </w:p>
        </w:tc>
        <w:tc>
          <w:tcPr>
            <w:tcW w:w="9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22</w:t>
            </w:r>
          </w:p>
        </w:tc>
        <w:tc>
          <w:tcPr>
            <w:tcW w:w="6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30</w:t>
            </w:r>
          </w:p>
        </w:tc>
        <w:tc>
          <w:tcPr>
            <w:tcW w:w="7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26</w:t>
            </w:r>
          </w:p>
        </w:tc>
        <w:tc>
          <w:tcPr>
            <w:tcW w:w="3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22</w:t>
            </w:r>
          </w:p>
        </w:tc>
        <w:tc>
          <w:tcPr>
            <w:tcW w:w="6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18</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26</w:t>
            </w:r>
          </w:p>
        </w:tc>
        <w:tc>
          <w:tcPr>
            <w:tcW w:w="5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ind w:firstLine="240" w:firstLineChars="100"/>
              <w:jc w:val="center"/>
              <w:textAlignment w:val="auto"/>
              <w:rPr>
                <w:rFonts w:ascii="仿宋_GB2312" w:hAnsi="宋体" w:eastAsia="仿宋_GB2312"/>
                <w:kern w:val="0"/>
                <w:szCs w:val="28"/>
              </w:rPr>
            </w:pPr>
            <w:r>
              <w:rPr>
                <w:rFonts w:hint="eastAsia" w:ascii="仿宋_GB2312" w:hAnsi="宋体" w:eastAsia="仿宋_GB2312"/>
                <w:kern w:val="0"/>
                <w:szCs w:val="28"/>
              </w:rPr>
              <w:t>22</w:t>
            </w:r>
          </w:p>
        </w:tc>
        <w:tc>
          <w:tcPr>
            <w:tcW w:w="42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18</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18</w:t>
            </w:r>
          </w:p>
        </w:tc>
        <w:tc>
          <w:tcPr>
            <w:tcW w:w="4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10</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6</w:t>
            </w:r>
          </w:p>
        </w:tc>
      </w:tr>
    </w:tbl>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说明: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(1)学科竞赛指与专业有关的,由学院及以上单位举办的正式的竞赛，请同时提供竞赛通知、公告等证明材料;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(2)竞赛级别的衡定,一般由举办单位的级别决定。各种竞赛的级别、类别的最终裁定权在奖助金评审委员会;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b/>
          <w:bCs/>
          <w:kern w:val="0"/>
          <w:sz w:val="28"/>
          <w:szCs w:val="28"/>
        </w:rPr>
        <w:t>团体竞赛，</w:t>
      </w:r>
      <w:r>
        <w:rPr>
          <w:rFonts w:hint="eastAsia" w:ascii="仿宋_GB2312" w:hAnsi="宋体" w:eastAsia="仿宋_GB2312"/>
          <w:b/>
          <w:bCs/>
          <w:color w:val="auto"/>
          <w:kern w:val="0"/>
          <w:sz w:val="28"/>
          <w:szCs w:val="28"/>
        </w:rPr>
        <w:t>每人得分为总分数/实际参加总人数</w:t>
      </w:r>
      <w:r>
        <w:rPr>
          <w:rFonts w:hint="eastAsia" w:ascii="仿宋_GB2312" w:hAnsi="宋体" w:eastAsia="仿宋_GB2312"/>
          <w:color w:val="auto"/>
          <w:kern w:val="0"/>
          <w:sz w:val="28"/>
          <w:szCs w:val="28"/>
        </w:rPr>
        <w:t xml:space="preserve">;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(4)个人或集体参与学科竞赛,原则上应以竞赛获奖证书或网站公示为判定依据,且该成果或荣誉在加分评定时限内；</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（5）同一项目参加不同级别的比赛，只按最高级别标准加分，不重复累加</w:t>
      </w:r>
      <w:r>
        <w:rPr>
          <w:rFonts w:hint="eastAsia" w:ascii="仿宋_GB2312" w:hAnsi="宋体" w:eastAsia="仿宋_GB2312"/>
          <w:kern w:val="0"/>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b/>
          <w:kern w:val="0"/>
          <w:sz w:val="28"/>
          <w:szCs w:val="28"/>
        </w:rPr>
      </w:pPr>
      <w:r>
        <w:rPr>
          <w:rFonts w:hint="eastAsia" w:ascii="仿宋_GB2312" w:hAnsi="宋体" w:eastAsia="仿宋_GB2312"/>
          <w:b/>
          <w:kern w:val="0"/>
          <w:sz w:val="28"/>
          <w:szCs w:val="28"/>
        </w:rPr>
        <w:t>(三)其他学生活动加分</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1.社会工作加分 </w:t>
      </w:r>
    </w:p>
    <w:tbl>
      <w:tblPr>
        <w:tblStyle w:val="7"/>
        <w:tblW w:w="8443" w:type="dxa"/>
        <w:jc w:val="center"/>
        <w:tblLayout w:type="fixed"/>
        <w:tblCellMar>
          <w:top w:w="0" w:type="dxa"/>
          <w:left w:w="108" w:type="dxa"/>
          <w:bottom w:w="0" w:type="dxa"/>
          <w:right w:w="108" w:type="dxa"/>
        </w:tblCellMar>
      </w:tblPr>
      <w:tblGrid>
        <w:gridCol w:w="7322"/>
        <w:gridCol w:w="1121"/>
      </w:tblGrid>
      <w:tr>
        <w:tblPrEx>
          <w:tblCellMar>
            <w:top w:w="0" w:type="dxa"/>
            <w:left w:w="108" w:type="dxa"/>
            <w:bottom w:w="0" w:type="dxa"/>
            <w:right w:w="108" w:type="dxa"/>
          </w:tblCellMar>
        </w:tblPrEx>
        <w:trPr>
          <w:jc w:val="center"/>
        </w:trPr>
        <w:tc>
          <w:tcPr>
            <w:tcW w:w="7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Cs w:val="28"/>
              </w:rPr>
            </w:pPr>
            <w:r>
              <w:rPr>
                <w:rFonts w:hint="eastAsia" w:ascii="仿宋_GB2312" w:hAnsi="宋体" w:eastAsia="仿宋_GB2312"/>
                <w:b/>
                <w:kern w:val="0"/>
                <w:szCs w:val="28"/>
              </w:rPr>
              <w:drawing>
                <wp:inline distT="0" distB="0" distL="0" distR="0">
                  <wp:extent cx="12700" cy="12700"/>
                  <wp:effectExtent l="0" t="0" r="0" b="0"/>
                  <wp:docPr id="1026" name="图片 11"/>
                  <wp:cNvGraphicFramePr/>
                  <a:graphic xmlns:a="http://schemas.openxmlformats.org/drawingml/2006/main">
                    <a:graphicData uri="http://schemas.openxmlformats.org/drawingml/2006/picture">
                      <pic:pic xmlns:pic="http://schemas.openxmlformats.org/drawingml/2006/picture">
                        <pic:nvPicPr>
                          <pic:cNvPr id="1026" name="图片 11"/>
                          <pic:cNvPicPr/>
                        </pic:nvPicPr>
                        <pic:blipFill>
                          <a:blip r:embed="rId5" cstate="print"/>
                          <a:srcRect/>
                          <a:stretch>
                            <a:fillRect/>
                          </a:stretch>
                        </pic:blipFill>
                        <pic:spPr>
                          <a:xfrm>
                            <a:off x="0" y="0"/>
                            <a:ext cx="12700" cy="12700"/>
                          </a:xfrm>
                          <a:prstGeom prst="rect">
                            <a:avLst/>
                          </a:prstGeom>
                          <a:ln>
                            <a:noFill/>
                          </a:ln>
                        </pic:spPr>
                      </pic:pic>
                    </a:graphicData>
                  </a:graphic>
                </wp:inline>
              </w:drawing>
            </w:r>
            <w:r>
              <w:rPr>
                <w:rFonts w:hint="eastAsia" w:ascii="仿宋_GB2312" w:hAnsi="宋体" w:eastAsia="仿宋_GB2312"/>
                <w:b/>
                <w:kern w:val="0"/>
                <w:szCs w:val="28"/>
              </w:rPr>
              <w:t>加分条件</w:t>
            </w:r>
          </w:p>
        </w:tc>
        <w:tc>
          <w:tcPr>
            <w:tcW w:w="112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Cs w:val="28"/>
              </w:rPr>
            </w:pPr>
            <w:r>
              <w:rPr>
                <w:rFonts w:hint="eastAsia" w:ascii="仿宋_GB2312" w:hAnsi="宋体" w:eastAsia="仿宋_GB2312"/>
                <w:b/>
                <w:kern w:val="0"/>
                <w:szCs w:val="28"/>
              </w:rPr>
              <w:t>加分</w:t>
            </w:r>
          </w:p>
        </w:tc>
      </w:tr>
      <w:tr>
        <w:tblPrEx>
          <w:tblCellMar>
            <w:top w:w="0" w:type="dxa"/>
            <w:left w:w="108" w:type="dxa"/>
            <w:bottom w:w="0" w:type="dxa"/>
            <w:right w:w="108" w:type="dxa"/>
          </w:tblCellMar>
        </w:tblPrEx>
        <w:trPr>
          <w:jc w:val="center"/>
        </w:trPr>
        <w:tc>
          <w:tcPr>
            <w:tcW w:w="7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ind w:right="2909"/>
              <w:textAlignment w:val="auto"/>
              <w:rPr>
                <w:rFonts w:ascii="仿宋_GB2312" w:hAnsi="宋体" w:eastAsia="仿宋_GB2312"/>
                <w:kern w:val="0"/>
                <w:szCs w:val="28"/>
              </w:rPr>
            </w:pPr>
            <w:r>
              <w:rPr>
                <w:rFonts w:hint="eastAsia" w:ascii="仿宋_GB2312" w:hAnsi="宋体" w:eastAsia="仿宋_GB2312"/>
                <w:kern w:val="0"/>
                <w:szCs w:val="28"/>
              </w:rPr>
              <w:drawing>
                <wp:inline distT="0" distB="0" distL="0" distR="0">
                  <wp:extent cx="12700" cy="12700"/>
                  <wp:effectExtent l="0" t="0" r="0" b="0"/>
                  <wp:docPr id="1027" name="图片 13"/>
                  <wp:cNvGraphicFramePr/>
                  <a:graphic xmlns:a="http://schemas.openxmlformats.org/drawingml/2006/main">
                    <a:graphicData uri="http://schemas.openxmlformats.org/drawingml/2006/picture">
                      <pic:pic xmlns:pic="http://schemas.openxmlformats.org/drawingml/2006/picture">
                        <pic:nvPicPr>
                          <pic:cNvPr id="1027" name="图片 13"/>
                          <pic:cNvPicPr/>
                        </pic:nvPicPr>
                        <pic:blipFill>
                          <a:blip r:embed="rId5" cstate="print"/>
                          <a:srcRect/>
                          <a:stretch>
                            <a:fillRect/>
                          </a:stretch>
                        </pic:blipFill>
                        <pic:spPr>
                          <a:xfrm>
                            <a:off x="0" y="0"/>
                            <a:ext cx="12700" cy="12700"/>
                          </a:xfrm>
                          <a:prstGeom prst="rect">
                            <a:avLst/>
                          </a:prstGeom>
                          <a:ln>
                            <a:noFill/>
                          </a:ln>
                        </pic:spPr>
                      </pic:pic>
                    </a:graphicData>
                  </a:graphic>
                </wp:inline>
              </w:drawing>
            </w:r>
            <w:r>
              <w:rPr>
                <w:rFonts w:hint="eastAsia" w:ascii="仿宋_GB2312" w:hAnsi="宋体" w:eastAsia="仿宋_GB2312"/>
                <w:kern w:val="0"/>
                <w:szCs w:val="28"/>
              </w:rPr>
              <w:t xml:space="preserve">校研究生会主席 </w:t>
            </w:r>
          </w:p>
        </w:tc>
        <w:tc>
          <w:tcPr>
            <w:tcW w:w="112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8</w:t>
            </w:r>
            <w:r>
              <w:rPr>
                <w:rFonts w:hint="eastAsia" w:ascii="仿宋_GB2312" w:hAnsi="宋体" w:eastAsia="仿宋_GB2312"/>
                <w:kern w:val="0"/>
                <w:szCs w:val="28"/>
              </w:rPr>
              <w:t>分</w:t>
            </w:r>
          </w:p>
        </w:tc>
      </w:tr>
      <w:tr>
        <w:tblPrEx>
          <w:tblCellMar>
            <w:top w:w="0" w:type="dxa"/>
            <w:left w:w="108" w:type="dxa"/>
            <w:bottom w:w="0" w:type="dxa"/>
            <w:right w:w="108" w:type="dxa"/>
          </w:tblCellMar>
        </w:tblPrEx>
        <w:trPr>
          <w:jc w:val="center"/>
        </w:trPr>
        <w:tc>
          <w:tcPr>
            <w:tcW w:w="7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校研究生会副主席、院研究生会主席团成员;学院学生党支部副书记</w:t>
            </w:r>
          </w:p>
        </w:tc>
        <w:tc>
          <w:tcPr>
            <w:tcW w:w="112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6</w:t>
            </w:r>
            <w:r>
              <w:rPr>
                <w:rFonts w:hint="eastAsia" w:ascii="仿宋_GB2312" w:hAnsi="宋体" w:eastAsia="仿宋_GB2312"/>
                <w:kern w:val="0"/>
                <w:szCs w:val="28"/>
              </w:rPr>
              <w:t>分</w:t>
            </w:r>
          </w:p>
        </w:tc>
      </w:tr>
      <w:tr>
        <w:tblPrEx>
          <w:tblCellMar>
            <w:top w:w="0" w:type="dxa"/>
            <w:left w:w="108" w:type="dxa"/>
            <w:bottom w:w="0" w:type="dxa"/>
            <w:right w:w="108" w:type="dxa"/>
          </w:tblCellMar>
        </w:tblPrEx>
        <w:trPr>
          <w:jc w:val="center"/>
        </w:trPr>
        <w:tc>
          <w:tcPr>
            <w:tcW w:w="7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校研究生会各部部长;院研究生会各部主要负责人;各班班长、团支书；学院学生党支部委员</w:t>
            </w:r>
          </w:p>
        </w:tc>
        <w:tc>
          <w:tcPr>
            <w:tcW w:w="112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4</w:t>
            </w:r>
            <w:r>
              <w:rPr>
                <w:rFonts w:hint="eastAsia" w:ascii="仿宋_GB2312" w:hAnsi="宋体" w:eastAsia="仿宋_GB2312"/>
                <w:kern w:val="0"/>
                <w:szCs w:val="28"/>
              </w:rPr>
              <w:t>分</w:t>
            </w:r>
          </w:p>
        </w:tc>
      </w:tr>
      <w:tr>
        <w:tblPrEx>
          <w:tblCellMar>
            <w:top w:w="0" w:type="dxa"/>
            <w:left w:w="108" w:type="dxa"/>
            <w:bottom w:w="0" w:type="dxa"/>
            <w:right w:w="108" w:type="dxa"/>
          </w:tblCellMar>
        </w:tblPrEx>
        <w:trPr>
          <w:jc w:val="center"/>
        </w:trPr>
        <w:tc>
          <w:tcPr>
            <w:tcW w:w="7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校研究生会各部副部长;院研究生会各部</w:t>
            </w:r>
            <w:r>
              <w:rPr>
                <w:rFonts w:hint="eastAsia" w:ascii="仿宋_GB2312" w:hAnsi="宋体" w:eastAsia="仿宋_GB2312"/>
                <w:kern w:val="0"/>
                <w:szCs w:val="28"/>
                <w:lang w:eastAsia="zh-CN"/>
              </w:rPr>
              <w:t>门次要负责人；</w:t>
            </w:r>
            <w:r>
              <w:rPr>
                <w:rFonts w:hint="eastAsia" w:ascii="仿宋_GB2312" w:hAnsi="宋体" w:eastAsia="仿宋_GB2312"/>
                <w:kern w:val="0"/>
                <w:szCs w:val="28"/>
              </w:rPr>
              <w:t xml:space="preserve">各班班委 </w:t>
            </w:r>
          </w:p>
        </w:tc>
        <w:tc>
          <w:tcPr>
            <w:tcW w:w="112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2</w:t>
            </w:r>
            <w:r>
              <w:rPr>
                <w:rFonts w:hint="eastAsia" w:ascii="仿宋_GB2312" w:hAnsi="宋体" w:eastAsia="仿宋_GB2312"/>
                <w:kern w:val="0"/>
                <w:szCs w:val="28"/>
              </w:rPr>
              <w:t>分</w:t>
            </w:r>
          </w:p>
        </w:tc>
      </w:tr>
      <w:tr>
        <w:tblPrEx>
          <w:tblCellMar>
            <w:top w:w="0" w:type="dxa"/>
            <w:left w:w="108" w:type="dxa"/>
            <w:bottom w:w="0" w:type="dxa"/>
            <w:right w:w="108" w:type="dxa"/>
          </w:tblCellMar>
        </w:tblPrEx>
        <w:trPr>
          <w:jc w:val="center"/>
        </w:trPr>
        <w:tc>
          <w:tcPr>
            <w:tcW w:w="73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drawing>
                <wp:inline distT="0" distB="0" distL="0" distR="0">
                  <wp:extent cx="12700" cy="12700"/>
                  <wp:effectExtent l="0" t="0" r="0" b="0"/>
                  <wp:docPr id="1028" name="图片 17"/>
                  <wp:cNvGraphicFramePr/>
                  <a:graphic xmlns:a="http://schemas.openxmlformats.org/drawingml/2006/main">
                    <a:graphicData uri="http://schemas.openxmlformats.org/drawingml/2006/picture">
                      <pic:pic xmlns:pic="http://schemas.openxmlformats.org/drawingml/2006/picture">
                        <pic:nvPicPr>
                          <pic:cNvPr id="1028" name="图片 17"/>
                          <pic:cNvPicPr/>
                        </pic:nvPicPr>
                        <pic:blipFill>
                          <a:blip r:embed="rId6" cstate="print"/>
                          <a:srcRect/>
                          <a:stretch>
                            <a:fillRect/>
                          </a:stretch>
                        </pic:blipFill>
                        <pic:spPr>
                          <a:xfrm>
                            <a:off x="0" y="0"/>
                            <a:ext cx="12700" cy="12700"/>
                          </a:xfrm>
                          <a:prstGeom prst="rect">
                            <a:avLst/>
                          </a:prstGeom>
                          <a:ln>
                            <a:noFill/>
                          </a:ln>
                        </pic:spPr>
                      </pic:pic>
                    </a:graphicData>
                  </a:graphic>
                </wp:inline>
              </w:drawing>
            </w:r>
            <w:r>
              <w:rPr>
                <w:rFonts w:hint="eastAsia" w:ascii="仿宋_GB2312" w:hAnsi="宋体" w:eastAsia="仿宋_GB2312"/>
                <w:kern w:val="0"/>
                <w:szCs w:val="28"/>
              </w:rPr>
              <w:t>校研究生会干事、院研究生会干事</w:t>
            </w:r>
          </w:p>
        </w:tc>
        <w:tc>
          <w:tcPr>
            <w:tcW w:w="112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1分</w:t>
            </w:r>
          </w:p>
        </w:tc>
      </w:tr>
    </w:tbl>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p>
    <w:p>
      <w:pPr>
        <w:keepNext w:val="0"/>
        <w:keepLines w:val="0"/>
        <w:pageBreakBefore w:val="0"/>
        <w:widowControl/>
        <w:kinsoku/>
        <w:wordWrap/>
        <w:overflowPunct/>
        <w:topLinePunct w:val="0"/>
        <w:autoSpaceDE w:val="0"/>
        <w:autoSpaceDN w:val="0"/>
        <w:bidi w:val="0"/>
        <w:adjustRightInd w:val="0"/>
        <w:snapToGrid w:val="0"/>
        <w:spacing w:line="540" w:lineRule="exact"/>
        <w:ind w:firstLine="560" w:firstLineChars="200"/>
        <w:textAlignment w:val="auto"/>
        <w:rPr>
          <w:rFonts w:ascii="仿宋_GB2312" w:hAnsi="宋体" w:eastAsia="仿宋_GB2312"/>
          <w:kern w:val="0"/>
          <w:sz w:val="28"/>
          <w:szCs w:val="28"/>
        </w:rPr>
      </w:pPr>
      <w:r>
        <w:rPr>
          <w:rFonts w:hint="eastAsia" w:ascii="仿宋_GB2312" w:hAnsi="宋体" w:eastAsia="仿宋_GB2312"/>
          <w:kern w:val="0"/>
          <w:sz w:val="28"/>
          <w:szCs w:val="28"/>
        </w:rPr>
        <w:t>说明：社会工作主要指在校担任的面向学生的无报酬工作,在社会上兼职不算在内;</w:t>
      </w:r>
      <w:r>
        <w:rPr>
          <w:rFonts w:hint="eastAsia" w:ascii="仿宋_GB2312" w:hAnsi="宋体" w:eastAsia="仿宋_GB2312"/>
          <w:kern w:val="0"/>
          <w:sz w:val="28"/>
          <w:szCs w:val="28"/>
          <w:lang w:eastAsia="zh-CN"/>
        </w:rPr>
        <w:t>担任学生干部需任职半年及以上，</w:t>
      </w:r>
      <w:r>
        <w:rPr>
          <w:rFonts w:hint="eastAsia" w:ascii="仿宋_GB2312" w:hAnsi="宋体" w:eastAsia="仿宋_GB2312"/>
          <w:kern w:val="0"/>
          <w:sz w:val="28"/>
          <w:szCs w:val="28"/>
        </w:rPr>
        <w:t>通过所在学生组织的述职考核且</w:t>
      </w:r>
      <w:r>
        <w:rPr>
          <w:rFonts w:hint="eastAsia" w:ascii="仿宋_GB2312" w:hAnsi="宋体" w:eastAsia="仿宋_GB2312"/>
          <w:kern w:val="0"/>
          <w:sz w:val="28"/>
          <w:szCs w:val="28"/>
          <w:lang w:eastAsia="zh-CN"/>
        </w:rPr>
        <w:t>考核结果</w:t>
      </w:r>
      <w:r>
        <w:rPr>
          <w:rFonts w:hint="eastAsia" w:ascii="仿宋_GB2312" w:hAnsi="宋体" w:eastAsia="仿宋_GB2312"/>
          <w:kern w:val="0"/>
          <w:sz w:val="28"/>
          <w:szCs w:val="28"/>
        </w:rPr>
        <w:t>合格及以上者</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方可加分。兼多项职务者只取最高分,工作表现</w:t>
      </w:r>
      <w:r>
        <w:rPr>
          <w:rFonts w:hint="eastAsia" w:ascii="仿宋_GB2312" w:hAnsi="宋体" w:eastAsia="仿宋_GB2312"/>
          <w:kern w:val="0"/>
          <w:sz w:val="28"/>
          <w:szCs w:val="28"/>
          <w:lang w:eastAsia="zh-CN"/>
        </w:rPr>
        <w:t xml:space="preserve">经所在学生组织集体认定 </w:t>
      </w:r>
      <w:r>
        <w:rPr>
          <w:rFonts w:hint="eastAsia" w:ascii="仿宋_GB2312" w:hAnsi="宋体" w:eastAsia="仿宋_GB2312"/>
          <w:kern w:val="0"/>
          <w:sz w:val="28"/>
          <w:szCs w:val="28"/>
        </w:rPr>
        <w:t>不称职者</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不予加分。</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2.非学术非科研荣誉加分 </w:t>
      </w:r>
    </w:p>
    <w:tbl>
      <w:tblPr>
        <w:tblStyle w:val="7"/>
        <w:tblW w:w="8221" w:type="dxa"/>
        <w:tblInd w:w="431" w:type="dxa"/>
        <w:tblLayout w:type="fixed"/>
        <w:tblCellMar>
          <w:top w:w="0" w:type="dxa"/>
          <w:left w:w="108" w:type="dxa"/>
          <w:bottom w:w="0" w:type="dxa"/>
          <w:right w:w="108" w:type="dxa"/>
        </w:tblCellMar>
      </w:tblPr>
      <w:tblGrid>
        <w:gridCol w:w="2796"/>
        <w:gridCol w:w="1314"/>
        <w:gridCol w:w="1418"/>
        <w:gridCol w:w="1276"/>
        <w:gridCol w:w="1417"/>
      </w:tblGrid>
      <w:tr>
        <w:tblPrEx>
          <w:tblCellMar>
            <w:top w:w="0" w:type="dxa"/>
            <w:left w:w="108" w:type="dxa"/>
            <w:bottom w:w="0" w:type="dxa"/>
            <w:right w:w="108" w:type="dxa"/>
          </w:tblCellMar>
        </w:tblPrEx>
        <w:tc>
          <w:tcPr>
            <w:tcW w:w="279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Cs w:val="28"/>
              </w:rPr>
            </w:pPr>
            <w:r>
              <w:rPr>
                <w:rFonts w:hint="eastAsia" w:ascii="仿宋_GB2312" w:hAnsi="宋体" w:eastAsia="仿宋_GB2312"/>
                <w:b/>
                <w:kern w:val="0"/>
                <w:szCs w:val="28"/>
              </w:rPr>
              <w:t>表彰级别</w:t>
            </w:r>
          </w:p>
        </w:tc>
        <w:tc>
          <w:tcPr>
            <w:tcW w:w="13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Cs w:val="28"/>
              </w:rPr>
            </w:pPr>
            <w:r>
              <w:rPr>
                <w:rFonts w:hint="eastAsia" w:ascii="仿宋_GB2312" w:hAnsi="宋体" w:eastAsia="仿宋_GB2312"/>
                <w:b/>
                <w:kern w:val="0"/>
                <w:szCs w:val="28"/>
              </w:rPr>
              <w:t>国家级</w:t>
            </w:r>
          </w:p>
        </w:tc>
        <w:tc>
          <w:tcPr>
            <w:tcW w:w="1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Cs w:val="28"/>
              </w:rPr>
            </w:pPr>
            <w:r>
              <w:rPr>
                <w:rFonts w:hint="eastAsia" w:ascii="仿宋_GB2312" w:hAnsi="宋体" w:eastAsia="仿宋_GB2312"/>
                <w:b/>
                <w:kern w:val="0"/>
                <w:szCs w:val="28"/>
              </w:rPr>
              <w:t>省级</w:t>
            </w:r>
          </w:p>
        </w:tc>
        <w:tc>
          <w:tcPr>
            <w:tcW w:w="127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Cs w:val="28"/>
              </w:rPr>
            </w:pPr>
            <w:r>
              <w:rPr>
                <w:rFonts w:hint="eastAsia" w:ascii="仿宋_GB2312" w:hAnsi="宋体" w:eastAsia="仿宋_GB2312"/>
                <w:b/>
                <w:kern w:val="0"/>
                <w:szCs w:val="28"/>
              </w:rPr>
              <w:t>市级</w:t>
            </w:r>
          </w:p>
        </w:tc>
        <w:tc>
          <w:tcPr>
            <w:tcW w:w="1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Cs w:val="28"/>
              </w:rPr>
            </w:pPr>
            <w:r>
              <w:rPr>
                <w:rFonts w:hint="eastAsia" w:ascii="仿宋_GB2312" w:hAnsi="宋体" w:eastAsia="仿宋_GB2312"/>
                <w:b/>
                <w:kern w:val="0"/>
                <w:szCs w:val="28"/>
              </w:rPr>
              <w:t>校级</w:t>
            </w:r>
          </w:p>
        </w:tc>
      </w:tr>
      <w:tr>
        <w:tblPrEx>
          <w:tblCellMar>
            <w:top w:w="0" w:type="dxa"/>
            <w:left w:w="108" w:type="dxa"/>
            <w:bottom w:w="0" w:type="dxa"/>
            <w:right w:w="108" w:type="dxa"/>
          </w:tblCellMar>
        </w:tblPrEx>
        <w:tc>
          <w:tcPr>
            <w:tcW w:w="279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drawing>
                <wp:inline distT="0" distB="0" distL="0" distR="0">
                  <wp:extent cx="12700" cy="12700"/>
                  <wp:effectExtent l="0" t="0" r="0" b="0"/>
                  <wp:docPr id="1029" name="图片 77"/>
                  <wp:cNvGraphicFramePr/>
                  <a:graphic xmlns:a="http://schemas.openxmlformats.org/drawingml/2006/main">
                    <a:graphicData uri="http://schemas.openxmlformats.org/drawingml/2006/picture">
                      <pic:pic xmlns:pic="http://schemas.openxmlformats.org/drawingml/2006/picture">
                        <pic:nvPicPr>
                          <pic:cNvPr id="1029" name="图片 77"/>
                          <pic:cNvPicPr/>
                        </pic:nvPicPr>
                        <pic:blipFill>
                          <a:blip r:embed="rId5" cstate="print"/>
                          <a:srcRect/>
                          <a:stretch>
                            <a:fillRect/>
                          </a:stretch>
                        </pic:blipFill>
                        <pic:spPr>
                          <a:xfrm>
                            <a:off x="0" y="0"/>
                            <a:ext cx="12700" cy="12700"/>
                          </a:xfrm>
                          <a:prstGeom prst="rect">
                            <a:avLst/>
                          </a:prstGeom>
                          <a:ln>
                            <a:noFill/>
                          </a:ln>
                        </pic:spPr>
                      </pic:pic>
                    </a:graphicData>
                  </a:graphic>
                </wp:inline>
              </w:drawing>
            </w:r>
            <w:r>
              <w:rPr>
                <w:rFonts w:hint="eastAsia" w:ascii="仿宋_GB2312" w:hAnsi="宋体" w:eastAsia="仿宋_GB2312"/>
                <w:kern w:val="0"/>
                <w:szCs w:val="28"/>
              </w:rPr>
              <w:t>先进个人</w:t>
            </w:r>
          </w:p>
        </w:tc>
        <w:tc>
          <w:tcPr>
            <w:tcW w:w="13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6</w:t>
            </w:r>
          </w:p>
        </w:tc>
        <w:tc>
          <w:tcPr>
            <w:tcW w:w="1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4</w:t>
            </w:r>
          </w:p>
        </w:tc>
        <w:tc>
          <w:tcPr>
            <w:tcW w:w="127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2</w:t>
            </w:r>
          </w:p>
        </w:tc>
        <w:tc>
          <w:tcPr>
            <w:tcW w:w="1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1</w:t>
            </w:r>
          </w:p>
        </w:tc>
      </w:tr>
      <w:tr>
        <w:tblPrEx>
          <w:tblCellMar>
            <w:top w:w="0" w:type="dxa"/>
            <w:left w:w="108" w:type="dxa"/>
            <w:bottom w:w="0" w:type="dxa"/>
            <w:right w:w="108" w:type="dxa"/>
          </w:tblCellMar>
        </w:tblPrEx>
        <w:tc>
          <w:tcPr>
            <w:tcW w:w="279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drawing>
                <wp:inline distT="0" distB="0" distL="0" distR="0">
                  <wp:extent cx="12700" cy="12700"/>
                  <wp:effectExtent l="0" t="0" r="0" b="0"/>
                  <wp:docPr id="1030" name="图片 78"/>
                  <wp:cNvGraphicFramePr/>
                  <a:graphic xmlns:a="http://schemas.openxmlformats.org/drawingml/2006/main">
                    <a:graphicData uri="http://schemas.openxmlformats.org/drawingml/2006/picture">
                      <pic:pic xmlns:pic="http://schemas.openxmlformats.org/drawingml/2006/picture">
                        <pic:nvPicPr>
                          <pic:cNvPr id="1030" name="图片 78"/>
                          <pic:cNvPicPr/>
                        </pic:nvPicPr>
                        <pic:blipFill>
                          <a:blip r:embed="rId5" cstate="print"/>
                          <a:srcRect/>
                          <a:stretch>
                            <a:fillRect/>
                          </a:stretch>
                        </pic:blipFill>
                        <pic:spPr>
                          <a:xfrm>
                            <a:off x="0" y="0"/>
                            <a:ext cx="12700" cy="12700"/>
                          </a:xfrm>
                          <a:prstGeom prst="rect">
                            <a:avLst/>
                          </a:prstGeom>
                          <a:ln>
                            <a:noFill/>
                          </a:ln>
                        </pic:spPr>
                      </pic:pic>
                    </a:graphicData>
                  </a:graphic>
                </wp:inline>
              </w:drawing>
            </w:r>
            <w:r>
              <w:rPr>
                <w:rFonts w:hint="eastAsia" w:ascii="仿宋_GB2312" w:hAnsi="宋体" w:eastAsia="仿宋_GB2312"/>
                <w:kern w:val="0"/>
                <w:szCs w:val="28"/>
              </w:rPr>
              <w:t>先进集体主要负责人</w:t>
            </w:r>
          </w:p>
        </w:tc>
        <w:tc>
          <w:tcPr>
            <w:tcW w:w="13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4</w:t>
            </w:r>
          </w:p>
        </w:tc>
        <w:tc>
          <w:tcPr>
            <w:tcW w:w="1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w:t>
            </w:r>
          </w:p>
        </w:tc>
        <w:tc>
          <w:tcPr>
            <w:tcW w:w="127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w:t>
            </w:r>
          </w:p>
        </w:tc>
        <w:tc>
          <w:tcPr>
            <w:tcW w:w="1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0.6</w:t>
            </w:r>
          </w:p>
        </w:tc>
      </w:tr>
      <w:tr>
        <w:tblPrEx>
          <w:tblCellMar>
            <w:top w:w="0" w:type="dxa"/>
            <w:left w:w="108" w:type="dxa"/>
            <w:bottom w:w="0" w:type="dxa"/>
            <w:right w:w="108" w:type="dxa"/>
          </w:tblCellMar>
        </w:tblPrEx>
        <w:trPr>
          <w:trHeight w:val="648" w:hRule="atLeast"/>
        </w:trPr>
        <w:tc>
          <w:tcPr>
            <w:tcW w:w="279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先进集体一般负责人</w:t>
            </w:r>
          </w:p>
        </w:tc>
        <w:tc>
          <w:tcPr>
            <w:tcW w:w="13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w:t>
            </w:r>
          </w:p>
        </w:tc>
        <w:tc>
          <w:tcPr>
            <w:tcW w:w="1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w:t>
            </w:r>
          </w:p>
        </w:tc>
        <w:tc>
          <w:tcPr>
            <w:tcW w:w="127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w:t>
            </w:r>
            <w:r>
              <w:rPr>
                <w:rFonts w:ascii="仿宋_GB2312" w:hAnsi="宋体" w:eastAsia="仿宋_GB2312"/>
                <w:kern w:val="0"/>
                <w:szCs w:val="28"/>
              </w:rPr>
              <w:t>6</w:t>
            </w:r>
          </w:p>
        </w:tc>
        <w:tc>
          <w:tcPr>
            <w:tcW w:w="1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0.3</w:t>
            </w:r>
          </w:p>
        </w:tc>
      </w:tr>
      <w:tr>
        <w:tblPrEx>
          <w:tblCellMar>
            <w:top w:w="0" w:type="dxa"/>
            <w:left w:w="108" w:type="dxa"/>
            <w:bottom w:w="0" w:type="dxa"/>
            <w:right w:w="108" w:type="dxa"/>
          </w:tblCellMar>
        </w:tblPrEx>
        <w:trPr>
          <w:trHeight w:val="516" w:hRule="atLeast"/>
        </w:trPr>
        <w:tc>
          <w:tcPr>
            <w:tcW w:w="279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先进集体一般成员</w:t>
            </w:r>
          </w:p>
        </w:tc>
        <w:tc>
          <w:tcPr>
            <w:tcW w:w="131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w:t>
            </w:r>
          </w:p>
        </w:tc>
        <w:tc>
          <w:tcPr>
            <w:tcW w:w="14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w:t>
            </w:r>
            <w:r>
              <w:rPr>
                <w:rFonts w:ascii="仿宋_GB2312" w:hAnsi="宋体" w:eastAsia="仿宋_GB2312"/>
                <w:kern w:val="0"/>
                <w:szCs w:val="28"/>
              </w:rPr>
              <w:t>6</w:t>
            </w:r>
          </w:p>
        </w:tc>
        <w:tc>
          <w:tcPr>
            <w:tcW w:w="127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0.3</w:t>
            </w:r>
          </w:p>
        </w:tc>
        <w:tc>
          <w:tcPr>
            <w:tcW w:w="141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0.2</w:t>
            </w:r>
          </w:p>
        </w:tc>
      </w:tr>
    </w:tbl>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说明: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w:t>
      </w:r>
      <w:r>
        <w:rPr>
          <w:rFonts w:ascii="仿宋_GB2312" w:hAnsi="宋体" w:eastAsia="仿宋_GB2312"/>
          <w:kern w:val="0"/>
          <w:sz w:val="28"/>
          <w:szCs w:val="28"/>
        </w:rPr>
        <w:t>1</w:t>
      </w:r>
      <w:r>
        <w:rPr>
          <w:rFonts w:hint="eastAsia" w:ascii="仿宋_GB2312" w:hAnsi="宋体" w:eastAsia="仿宋_GB2312"/>
          <w:kern w:val="0"/>
          <w:sz w:val="28"/>
          <w:szCs w:val="28"/>
        </w:rPr>
        <w:t xml:space="preserve">）主要负责人指该集体(或活动)的主要组织者和策划者;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w:t>
      </w:r>
      <w:r>
        <w:rPr>
          <w:rFonts w:ascii="仿宋_GB2312" w:hAnsi="宋体" w:eastAsia="仿宋_GB2312"/>
          <w:kern w:val="0"/>
          <w:sz w:val="28"/>
          <w:szCs w:val="28"/>
        </w:rPr>
        <w:t>2</w:t>
      </w:r>
      <w:r>
        <w:rPr>
          <w:rFonts w:hint="eastAsia" w:ascii="仿宋_GB2312" w:hAnsi="宋体" w:eastAsia="仿宋_GB2312"/>
          <w:kern w:val="0"/>
          <w:sz w:val="28"/>
          <w:szCs w:val="28"/>
        </w:rPr>
        <w:t xml:space="preserve">）一般负责人指该集体(或活动)的协调者;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w:t>
      </w:r>
      <w:r>
        <w:rPr>
          <w:rFonts w:ascii="仿宋_GB2312" w:hAnsi="宋体" w:eastAsia="仿宋_GB2312"/>
          <w:kern w:val="0"/>
          <w:sz w:val="28"/>
          <w:szCs w:val="28"/>
        </w:rPr>
        <w:t>3</w:t>
      </w:r>
      <w:r>
        <w:rPr>
          <w:rFonts w:hint="eastAsia" w:ascii="仿宋_GB2312" w:hAnsi="宋体" w:eastAsia="仿宋_GB2312"/>
          <w:kern w:val="0"/>
          <w:sz w:val="28"/>
          <w:szCs w:val="28"/>
        </w:rPr>
        <w:t xml:space="preserve">）一般成员指该集体(或活动)的参与成员;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w:t>
      </w:r>
      <w:r>
        <w:rPr>
          <w:rFonts w:ascii="仿宋_GB2312" w:hAnsi="宋体" w:eastAsia="仿宋_GB2312"/>
          <w:kern w:val="0"/>
          <w:sz w:val="28"/>
          <w:szCs w:val="28"/>
        </w:rPr>
        <w:t>4</w:t>
      </w:r>
      <w:r>
        <w:rPr>
          <w:rFonts w:hint="eastAsia" w:ascii="仿宋_GB2312" w:hAnsi="宋体" w:eastAsia="仿宋_GB2312"/>
          <w:kern w:val="0"/>
          <w:sz w:val="28"/>
          <w:szCs w:val="28"/>
        </w:rPr>
        <w:t>）个别年度因参与到国家、省市重大活动志愿服务所获奖励、表彰,加分以学校文件相应加分情况为准；</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hint="eastAsia" w:ascii="仿宋_GB2312" w:hAnsi="宋体" w:eastAsia="仿宋_GB2312"/>
          <w:kern w:val="0"/>
          <w:sz w:val="28"/>
          <w:szCs w:val="28"/>
        </w:rPr>
      </w:pPr>
      <w:r>
        <w:rPr>
          <w:rFonts w:hint="eastAsia" w:ascii="仿宋_GB2312" w:hAnsi="宋体" w:eastAsia="仿宋_GB2312"/>
          <w:kern w:val="0"/>
          <w:sz w:val="28"/>
          <w:szCs w:val="28"/>
        </w:rPr>
        <w:t>（5）先进个人</w:t>
      </w:r>
      <w:r>
        <w:rPr>
          <w:rFonts w:hint="eastAsia" w:ascii="仿宋_GB2312" w:hAnsi="宋体" w:eastAsia="仿宋_GB2312"/>
          <w:kern w:val="0"/>
          <w:sz w:val="28"/>
          <w:szCs w:val="28"/>
          <w:lang w:eastAsia="zh-CN"/>
        </w:rPr>
        <w:t>荣誉，包括：</w:t>
      </w:r>
      <w:r>
        <w:rPr>
          <w:rFonts w:hint="eastAsia" w:ascii="仿宋_GB2312" w:hAnsi="宋体" w:eastAsia="仿宋_GB2312"/>
          <w:kern w:val="0"/>
          <w:sz w:val="28"/>
          <w:szCs w:val="28"/>
        </w:rPr>
        <w:t>优秀共产党员、优秀共青团员、优秀共青团干部、优秀勤工助学先进个人、优秀志愿者、三好标兵、优秀学生干部</w:t>
      </w:r>
      <w:r>
        <w:rPr>
          <w:rFonts w:hint="eastAsia" w:ascii="仿宋_GB2312" w:hAnsi="宋体" w:eastAsia="仿宋_GB2312"/>
          <w:kern w:val="0"/>
          <w:sz w:val="28"/>
          <w:szCs w:val="28"/>
          <w:lang w:eastAsia="zh-CN"/>
        </w:rPr>
        <w:t>、大学生年度人物</w:t>
      </w:r>
      <w:r>
        <w:rPr>
          <w:rFonts w:hint="eastAsia" w:ascii="仿宋_GB2312" w:hAnsi="宋体" w:eastAsia="仿宋_GB2312"/>
          <w:kern w:val="0"/>
          <w:sz w:val="28"/>
          <w:szCs w:val="28"/>
        </w:rPr>
        <w:t>等个人荣誉。</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3.其他竞赛加分</w:t>
      </w:r>
    </w:p>
    <w:tbl>
      <w:tblPr>
        <w:tblStyle w:val="7"/>
        <w:tblpPr w:leftFromText="180" w:rightFromText="180" w:vertAnchor="text" w:horzAnchor="page" w:tblpX="1069" w:tblpY="117"/>
        <w:tblW w:w="10064" w:type="dxa"/>
        <w:tblInd w:w="0" w:type="dxa"/>
        <w:tblLayout w:type="fixed"/>
        <w:tblCellMar>
          <w:top w:w="0" w:type="dxa"/>
          <w:left w:w="108" w:type="dxa"/>
          <w:bottom w:w="0" w:type="dxa"/>
          <w:right w:w="108" w:type="dxa"/>
        </w:tblCellMar>
      </w:tblPr>
      <w:tblGrid>
        <w:gridCol w:w="709"/>
        <w:gridCol w:w="567"/>
        <w:gridCol w:w="567"/>
        <w:gridCol w:w="567"/>
        <w:gridCol w:w="567"/>
        <w:gridCol w:w="567"/>
        <w:gridCol w:w="567"/>
        <w:gridCol w:w="675"/>
        <w:gridCol w:w="709"/>
        <w:gridCol w:w="567"/>
        <w:gridCol w:w="458"/>
        <w:gridCol w:w="709"/>
        <w:gridCol w:w="709"/>
        <w:gridCol w:w="709"/>
        <w:gridCol w:w="708"/>
        <w:gridCol w:w="709"/>
      </w:tblGrid>
      <w:tr>
        <w:tblPrEx>
          <w:tblCellMar>
            <w:top w:w="0" w:type="dxa"/>
            <w:left w:w="108" w:type="dxa"/>
            <w:bottom w:w="0" w:type="dxa"/>
            <w:right w:w="108" w:type="dxa"/>
          </w:tblCellMar>
        </w:tblPrEx>
        <w:trPr>
          <w:trHeight w:val="844" w:hRule="atLeast"/>
        </w:trPr>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 xml:space="preserve">级别 </w:t>
            </w:r>
          </w:p>
        </w:tc>
        <w:tc>
          <w:tcPr>
            <w:tcW w:w="170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 xml:space="preserve">国家级 </w:t>
            </w:r>
          </w:p>
        </w:tc>
        <w:tc>
          <w:tcPr>
            <w:tcW w:w="170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 xml:space="preserve">省级 </w:t>
            </w:r>
          </w:p>
        </w:tc>
        <w:tc>
          <w:tcPr>
            <w:tcW w:w="1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 xml:space="preserve">市级 </w:t>
            </w:r>
          </w:p>
        </w:tc>
        <w:tc>
          <w:tcPr>
            <w:tcW w:w="187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 xml:space="preserve">校级 </w:t>
            </w:r>
          </w:p>
        </w:tc>
        <w:tc>
          <w:tcPr>
            <w:tcW w:w="212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 xml:space="preserve">院级 </w:t>
            </w:r>
          </w:p>
        </w:tc>
      </w:tr>
      <w:tr>
        <w:tblPrEx>
          <w:tblCellMar>
            <w:top w:w="0" w:type="dxa"/>
            <w:left w:w="108" w:type="dxa"/>
            <w:bottom w:w="0" w:type="dxa"/>
            <w:right w:w="108" w:type="dxa"/>
          </w:tblCellMar>
        </w:tblPrEx>
        <w:trPr>
          <w:trHeight w:val="760" w:hRule="atLeast"/>
        </w:trPr>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等级</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w:t>
            </w:r>
          </w:p>
        </w:tc>
        <w:tc>
          <w:tcPr>
            <w:tcW w:w="45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一</w:t>
            </w:r>
          </w:p>
        </w:tc>
        <w:tc>
          <w:tcPr>
            <w:tcW w:w="7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二</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三</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加分</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6</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5</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ascii="仿宋_GB2312" w:hAnsi="宋体" w:eastAsia="仿宋_GB2312"/>
                <w:kern w:val="0"/>
                <w:szCs w:val="28"/>
              </w:rPr>
              <w:t>4</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3</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Cs w:val="28"/>
              </w:rPr>
            </w:pPr>
            <w:r>
              <w:rPr>
                <w:rFonts w:hint="eastAsia" w:ascii="仿宋_GB2312" w:hAnsi="宋体" w:eastAsia="仿宋_GB2312"/>
                <w:kern w:val="0"/>
                <w:szCs w:val="28"/>
              </w:rPr>
              <w:t>2</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2</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w:t>
            </w:r>
            <w:r>
              <w:rPr>
                <w:rFonts w:ascii="仿宋_GB2312" w:hAnsi="宋体" w:eastAsia="仿宋_GB2312"/>
                <w:kern w:val="0"/>
                <w:szCs w:val="28"/>
              </w:rPr>
              <w:t>.5</w:t>
            </w:r>
          </w:p>
        </w:tc>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w:t>
            </w:r>
          </w:p>
        </w:tc>
        <w:tc>
          <w:tcPr>
            <w:tcW w:w="45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1</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0.8</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0.5</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w:t>
            </w:r>
            <w:r>
              <w:rPr>
                <w:rFonts w:ascii="仿宋_GB2312" w:hAnsi="宋体" w:eastAsia="仿宋_GB2312"/>
                <w:kern w:val="0"/>
                <w:szCs w:val="28"/>
              </w:rPr>
              <w:t>8</w:t>
            </w:r>
          </w:p>
        </w:tc>
        <w:tc>
          <w:tcPr>
            <w:tcW w:w="7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w:t>
            </w:r>
            <w:r>
              <w:rPr>
                <w:rFonts w:ascii="仿宋_GB2312" w:hAnsi="宋体" w:eastAsia="仿宋_GB2312"/>
                <w:kern w:val="0"/>
                <w:szCs w:val="28"/>
              </w:rPr>
              <w:t>5</w:t>
            </w:r>
          </w:p>
        </w:tc>
        <w:tc>
          <w:tcPr>
            <w:tcW w:w="70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kern w:val="0"/>
                <w:szCs w:val="28"/>
              </w:rPr>
            </w:pPr>
            <w:r>
              <w:rPr>
                <w:rFonts w:hint="eastAsia" w:ascii="仿宋_GB2312" w:hAnsi="宋体" w:eastAsia="仿宋_GB2312"/>
                <w:kern w:val="0"/>
                <w:szCs w:val="28"/>
              </w:rPr>
              <w:t>0.</w:t>
            </w:r>
            <w:r>
              <w:rPr>
                <w:rFonts w:ascii="仿宋_GB2312" w:hAnsi="宋体" w:eastAsia="仿宋_GB2312"/>
                <w:kern w:val="0"/>
                <w:szCs w:val="28"/>
              </w:rPr>
              <w:t>3</w:t>
            </w:r>
          </w:p>
        </w:tc>
      </w:tr>
    </w:tbl>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说明: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(1)文化类各种竞赛必须是指经院、校、省及以上有关单位批准举办的活动,如:辩论赛、演讲赛、艺术节、歌唱比赛等;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(2)体育类各种竞赛必须是指经院、校、省及以上有关单位批准举办的比赛,如:校运会、院运会、篮球比赛等; </w:t>
      </w:r>
      <w:r>
        <w:rPr>
          <w:rFonts w:hint="eastAsia" w:ascii="仿宋_GB2312" w:hAnsi="宋体" w:eastAsia="仿宋_GB2312"/>
          <w:b/>
          <w:kern w:val="0"/>
          <w:sz w:val="28"/>
          <w:szCs w:val="28"/>
        </w:rPr>
        <w:t>趣味运动</w:t>
      </w:r>
      <w:r>
        <w:rPr>
          <w:rFonts w:hint="eastAsia" w:ascii="仿宋_GB2312" w:hAnsi="宋体" w:eastAsia="仿宋_GB2312"/>
          <w:b/>
          <w:kern w:val="0"/>
          <w:sz w:val="28"/>
          <w:szCs w:val="28"/>
          <w:lang w:eastAsia="zh-CN"/>
        </w:rPr>
        <w:t>、友谊赛等</w:t>
      </w:r>
      <w:r>
        <w:rPr>
          <w:rFonts w:hint="eastAsia" w:ascii="仿宋_GB2312" w:hAnsi="宋体" w:eastAsia="仿宋_GB2312"/>
          <w:b/>
          <w:kern w:val="0"/>
          <w:sz w:val="28"/>
          <w:szCs w:val="28"/>
        </w:rPr>
        <w:t>不计算在内</w:t>
      </w:r>
      <w:r>
        <w:rPr>
          <w:rFonts w:hint="eastAsia" w:ascii="仿宋_GB2312" w:hAnsi="宋体" w:eastAsia="仿宋_GB2312"/>
          <w:kern w:val="0"/>
          <w:sz w:val="28"/>
          <w:szCs w:val="28"/>
        </w:rPr>
        <w:t>。</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(3)在同一级别的文艺演出或比赛中获不同奖项者,只记最高分,不累加。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(4)体育比赛以每人每次每项计,同一项目在不同级别比赛获奖,只计最高分,不累加;不同项目可累加,但累加不可超过 3 项;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(5)团体演出/团体竞赛获奖按照总分数/总参加人数计算;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(6)获得单项奖的,如“最佳人气奖”、“最有台风奖”、“最受欢迎奖”、“优胜奖”、“鼓励奖”等特殊单项奖的,统一按该级别的第三名加分。如果同时获等级和单项奖励,则以最高分值项计分,不累加; </w:t>
      </w:r>
    </w:p>
    <w:p>
      <w:pPr>
        <w:keepNext w:val="0"/>
        <w:keepLines w:val="0"/>
        <w:pageBreakBefore w:val="0"/>
        <w:widowControl/>
        <w:kinsoku/>
        <w:wordWrap/>
        <w:overflowPunct/>
        <w:topLinePunct w:val="0"/>
        <w:autoSpaceDE w:val="0"/>
        <w:autoSpaceDN w:val="0"/>
        <w:bidi w:val="0"/>
        <w:adjustRightInd w:val="0"/>
        <w:snapToGrid w:val="0"/>
        <w:spacing w:line="540" w:lineRule="exact"/>
        <w:textAlignment w:val="auto"/>
        <w:rPr>
          <w:rFonts w:ascii="仿宋_GB2312" w:hAnsi="宋体" w:eastAsia="仿宋_GB2312"/>
          <w:kern w:val="0"/>
          <w:sz w:val="28"/>
          <w:szCs w:val="28"/>
        </w:rPr>
      </w:pPr>
      <w:r>
        <w:rPr>
          <w:rFonts w:hint="eastAsia" w:ascii="仿宋_GB2312" w:hAnsi="宋体" w:eastAsia="仿宋_GB2312"/>
          <w:kern w:val="0"/>
          <w:sz w:val="28"/>
          <w:szCs w:val="28"/>
        </w:rPr>
        <w:t>(</w:t>
      </w:r>
      <w:r>
        <w:rPr>
          <w:rFonts w:ascii="仿宋_GB2312" w:hAnsi="宋体" w:eastAsia="仿宋_GB2312"/>
          <w:kern w:val="0"/>
          <w:sz w:val="28"/>
          <w:szCs w:val="28"/>
        </w:rPr>
        <w:t>7</w:t>
      </w:r>
      <w:r>
        <w:rPr>
          <w:rFonts w:hint="eastAsia" w:ascii="仿宋_GB2312" w:hAnsi="宋体" w:eastAsia="仿宋_GB2312"/>
          <w:kern w:val="0"/>
          <w:sz w:val="28"/>
          <w:szCs w:val="28"/>
        </w:rPr>
        <w:t xml:space="preserve">)活动级别一般根据主办单位的级别确定,主办单位级别和活动范围级别不同时,以较低的级别来确定活动级别。 </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textAlignment w:val="auto"/>
        <w:rPr>
          <w:rFonts w:ascii="仿宋_GB2312" w:hAnsi="宋体" w:eastAsia="仿宋_GB2312"/>
          <w:kern w:val="0"/>
          <w:sz w:val="28"/>
          <w:szCs w:val="28"/>
        </w:rPr>
      </w:pPr>
      <w:r>
        <w:rPr>
          <w:rFonts w:hint="eastAsia" w:ascii="仿宋_GB2312" w:hAnsi="宋体" w:eastAsia="仿宋_GB2312"/>
          <w:b/>
          <w:kern w:val="0"/>
          <w:sz w:val="28"/>
          <w:szCs w:val="28"/>
        </w:rPr>
        <w:t>第十一条</w:t>
      </w:r>
      <w:r>
        <w:rPr>
          <w:rFonts w:hint="eastAsia" w:ascii="仿宋_GB2312" w:hAnsi="宋体" w:eastAsia="仿宋_GB2312"/>
          <w:kern w:val="0"/>
          <w:sz w:val="28"/>
          <w:szCs w:val="28"/>
        </w:rPr>
        <w:t xml:space="preserve">  除学术成果加分、学科竞赛加分外，学术会议加分以及</w:t>
      </w:r>
      <w:r>
        <w:rPr>
          <w:rFonts w:hint="eastAsia" w:ascii="仿宋_GB2312" w:hAnsi="宋体" w:eastAsia="仿宋_GB2312"/>
          <w:color w:val="000000"/>
          <w:kern w:val="0"/>
          <w:sz w:val="28"/>
          <w:szCs w:val="28"/>
        </w:rPr>
        <w:t>其他学生活动加分的各自总和上限为</w:t>
      </w:r>
      <w:r>
        <w:rPr>
          <w:rFonts w:ascii="仿宋_GB2312" w:hAnsi="宋体" w:eastAsia="仿宋_GB2312"/>
          <w:color w:val="000000"/>
          <w:kern w:val="0"/>
          <w:sz w:val="28"/>
          <w:szCs w:val="28"/>
        </w:rPr>
        <w:t>8</w:t>
      </w:r>
      <w:r>
        <w:rPr>
          <w:rFonts w:hint="eastAsia" w:ascii="仿宋_GB2312" w:hAnsi="宋体" w:eastAsia="仿宋_GB2312"/>
          <w:color w:val="000000"/>
          <w:kern w:val="0"/>
          <w:sz w:val="28"/>
          <w:szCs w:val="28"/>
        </w:rPr>
        <w:t>分。</w:t>
      </w:r>
    </w:p>
    <w:p>
      <w:pPr>
        <w:keepNext w:val="0"/>
        <w:keepLines w:val="0"/>
        <w:pageBreakBefore w:val="0"/>
        <w:widowControl/>
        <w:kinsoku/>
        <w:wordWrap/>
        <w:overflowPunct/>
        <w:topLinePunct w:val="0"/>
        <w:autoSpaceDE w:val="0"/>
        <w:autoSpaceDN w:val="0"/>
        <w:bidi w:val="0"/>
        <w:adjustRightInd w:val="0"/>
        <w:snapToGrid w:val="0"/>
        <w:spacing w:line="540" w:lineRule="exact"/>
        <w:jc w:val="center"/>
        <w:textAlignment w:val="auto"/>
        <w:rPr>
          <w:rFonts w:ascii="仿宋_GB2312" w:hAnsi="宋体" w:eastAsia="仿宋_GB2312"/>
          <w:b/>
          <w:kern w:val="0"/>
          <w:sz w:val="28"/>
          <w:szCs w:val="28"/>
        </w:rPr>
      </w:pPr>
      <w:r>
        <w:rPr>
          <w:rFonts w:hint="eastAsia" w:ascii="仿宋_GB2312" w:hAnsi="宋体" w:eastAsia="仿宋_GB2312"/>
          <w:b/>
          <w:kern w:val="0"/>
          <w:sz w:val="28"/>
          <w:szCs w:val="28"/>
        </w:rPr>
        <w:t>第三章 附则</w:t>
      </w:r>
    </w:p>
    <w:p>
      <w:pPr>
        <w:keepNext w:val="0"/>
        <w:keepLines w:val="0"/>
        <w:pageBreakBefore w:val="0"/>
        <w:widowControl/>
        <w:kinsoku/>
        <w:wordWrap/>
        <w:overflowPunct/>
        <w:topLinePunct w:val="0"/>
        <w:autoSpaceDE w:val="0"/>
        <w:autoSpaceDN w:val="0"/>
        <w:bidi w:val="0"/>
        <w:adjustRightInd w:val="0"/>
        <w:snapToGrid w:val="0"/>
        <w:spacing w:line="540" w:lineRule="exact"/>
        <w:ind w:left="840" w:hanging="840" w:hangingChars="300"/>
        <w:textAlignment w:val="auto"/>
        <w:rPr>
          <w:rFonts w:ascii="仿宋_GB2312" w:hAnsi="宋体" w:eastAsia="仿宋_GB2312"/>
          <w:kern w:val="0"/>
          <w:sz w:val="28"/>
          <w:szCs w:val="28"/>
        </w:rPr>
      </w:pPr>
      <w:r>
        <w:rPr>
          <w:rFonts w:hint="eastAsia" w:ascii="仿宋_GB2312" w:hAnsi="宋体" w:eastAsia="仿宋_GB2312"/>
          <w:kern w:val="0"/>
          <w:sz w:val="28"/>
          <w:szCs w:val="28"/>
        </w:rPr>
        <w:t xml:space="preserve">    </w:t>
      </w:r>
      <w:r>
        <w:rPr>
          <w:rFonts w:hint="eastAsia" w:ascii="仿宋_GB2312" w:hAnsi="宋体" w:eastAsia="仿宋_GB2312"/>
          <w:b/>
          <w:kern w:val="0"/>
          <w:sz w:val="28"/>
          <w:szCs w:val="28"/>
        </w:rPr>
        <w:t>第十二条</w:t>
      </w:r>
      <w:r>
        <w:rPr>
          <w:rFonts w:hint="eastAsia" w:ascii="仿宋_GB2312" w:hAnsi="宋体" w:eastAsia="仿宋_GB2312"/>
          <w:kern w:val="0"/>
          <w:sz w:val="28"/>
          <w:szCs w:val="28"/>
        </w:rPr>
        <w:t xml:space="preserve">  本细则解释权</w:t>
      </w:r>
      <w:r>
        <w:rPr>
          <w:rFonts w:hint="eastAsia" w:ascii="仿宋_GB2312" w:hAnsi="宋体" w:eastAsia="仿宋_GB2312"/>
          <w:kern w:val="0"/>
          <w:sz w:val="28"/>
          <w:szCs w:val="28"/>
          <w:lang w:val="en-US" w:eastAsia="zh-CN"/>
        </w:rPr>
        <w:t>归</w:t>
      </w:r>
      <w:r>
        <w:rPr>
          <w:rFonts w:hint="eastAsia" w:ascii="仿宋_GB2312" w:hAnsi="宋体" w:eastAsia="仿宋_GB2312"/>
          <w:kern w:val="0"/>
          <w:sz w:val="28"/>
          <w:szCs w:val="28"/>
        </w:rPr>
        <w:t xml:space="preserve">学院学工办。  </w:t>
      </w:r>
    </w:p>
    <w:p>
      <w:pPr>
        <w:keepNext w:val="0"/>
        <w:keepLines w:val="0"/>
        <w:pageBreakBefore w:val="0"/>
        <w:widowControl/>
        <w:kinsoku/>
        <w:wordWrap/>
        <w:overflowPunct/>
        <w:topLinePunct w:val="0"/>
        <w:autoSpaceDE w:val="0"/>
        <w:autoSpaceDN w:val="0"/>
        <w:bidi w:val="0"/>
        <w:adjustRightInd w:val="0"/>
        <w:snapToGrid w:val="0"/>
        <w:spacing w:line="540" w:lineRule="exact"/>
        <w:ind w:left="838" w:leftChars="232" w:hanging="281" w:hangingChars="100"/>
        <w:textAlignment w:val="auto"/>
        <w:rPr>
          <w:rFonts w:ascii="仿宋_GB2312" w:hAnsi="宋体" w:eastAsia="仿宋_GB2312"/>
          <w:kern w:val="0"/>
          <w:sz w:val="28"/>
          <w:szCs w:val="28"/>
        </w:rPr>
      </w:pPr>
      <w:r>
        <w:rPr>
          <w:rFonts w:hint="eastAsia" w:ascii="仿宋_GB2312" w:hAnsi="宋体" w:eastAsia="仿宋_GB2312"/>
          <w:b/>
          <w:kern w:val="0"/>
          <w:sz w:val="28"/>
          <w:szCs w:val="28"/>
        </w:rPr>
        <w:t xml:space="preserve">第十三条 </w:t>
      </w:r>
      <w:r>
        <w:rPr>
          <w:rFonts w:hint="eastAsia" w:ascii="仿宋_GB2312" w:hAnsi="宋体" w:eastAsia="仿宋_GB2312"/>
          <w:kern w:val="0"/>
          <w:sz w:val="28"/>
          <w:szCs w:val="28"/>
        </w:rPr>
        <w:t xml:space="preserve"> 本细则自</w:t>
      </w:r>
      <w:r>
        <w:rPr>
          <w:rFonts w:hint="eastAsia" w:ascii="仿宋_GB2312" w:hAnsi="宋体" w:eastAsia="仿宋_GB2312"/>
          <w:kern w:val="0"/>
          <w:sz w:val="28"/>
          <w:szCs w:val="28"/>
          <w:lang w:val="en-US" w:eastAsia="zh-CN"/>
        </w:rPr>
        <w:t>发</w:t>
      </w:r>
      <w:r>
        <w:rPr>
          <w:rFonts w:hint="eastAsia" w:ascii="仿宋_GB2312" w:hAnsi="宋体" w:eastAsia="仿宋_GB2312"/>
          <w:kern w:val="0"/>
          <w:sz w:val="28"/>
          <w:szCs w:val="28"/>
        </w:rPr>
        <w:t xml:space="preserve">布之日起实行。 </w:t>
      </w:r>
    </w:p>
    <w:p>
      <w:pPr>
        <w:keepNext w:val="0"/>
        <w:keepLines w:val="0"/>
        <w:pageBreakBefore w:val="0"/>
        <w:kinsoku/>
        <w:wordWrap/>
        <w:overflowPunct/>
        <w:topLinePunct w:val="0"/>
        <w:bidi w:val="0"/>
        <w:adjustRightInd w:val="0"/>
        <w:snapToGrid w:val="0"/>
        <w:spacing w:line="540" w:lineRule="exact"/>
        <w:ind w:right="280"/>
        <w:jc w:val="right"/>
        <w:textAlignment w:val="auto"/>
        <w:rPr>
          <w:rFonts w:hint="eastAsia" w:ascii="仿宋_GB2312" w:hAnsi="宋体" w:eastAsia="仿宋_GB2312"/>
          <w:sz w:val="28"/>
          <w:szCs w:val="28"/>
        </w:rPr>
      </w:pPr>
    </w:p>
    <w:p>
      <w:pPr>
        <w:keepNext w:val="0"/>
        <w:keepLines w:val="0"/>
        <w:pageBreakBefore w:val="0"/>
        <w:kinsoku/>
        <w:wordWrap/>
        <w:overflowPunct/>
        <w:topLinePunct w:val="0"/>
        <w:bidi w:val="0"/>
        <w:adjustRightInd w:val="0"/>
        <w:snapToGrid w:val="0"/>
        <w:spacing w:line="540" w:lineRule="exact"/>
        <w:ind w:right="280"/>
        <w:jc w:val="right"/>
        <w:textAlignment w:val="auto"/>
        <w:rPr>
          <w:rFonts w:hint="eastAsia" w:ascii="仿宋_GB2312" w:hAnsi="宋体" w:eastAsia="仿宋_GB2312"/>
          <w:sz w:val="28"/>
          <w:szCs w:val="28"/>
        </w:rPr>
      </w:pPr>
    </w:p>
    <w:p>
      <w:pPr>
        <w:keepNext w:val="0"/>
        <w:keepLines w:val="0"/>
        <w:pageBreakBefore w:val="0"/>
        <w:kinsoku/>
        <w:wordWrap/>
        <w:overflowPunct/>
        <w:topLinePunct w:val="0"/>
        <w:bidi w:val="0"/>
        <w:adjustRightInd w:val="0"/>
        <w:snapToGrid w:val="0"/>
        <w:spacing w:line="540" w:lineRule="exact"/>
        <w:ind w:right="280"/>
        <w:jc w:val="right"/>
        <w:textAlignment w:val="auto"/>
        <w:rPr>
          <w:rFonts w:ascii="仿宋_GB2312" w:hAnsi="宋体" w:eastAsia="仿宋_GB2312"/>
          <w:sz w:val="28"/>
          <w:szCs w:val="28"/>
        </w:rPr>
      </w:pPr>
      <w:r>
        <w:rPr>
          <w:rFonts w:hint="eastAsia" w:ascii="仿宋_GB2312" w:hAnsi="宋体" w:eastAsia="仿宋_GB2312"/>
          <w:sz w:val="28"/>
          <w:szCs w:val="28"/>
          <w:lang w:val="en-US" w:eastAsia="zh-CN"/>
        </w:rPr>
        <w:t>中山大学</w:t>
      </w:r>
      <w:bookmarkStart w:id="0" w:name="_GoBack"/>
      <w:bookmarkEnd w:id="0"/>
      <w:r>
        <w:rPr>
          <w:rFonts w:hint="eastAsia" w:ascii="仿宋_GB2312" w:hAnsi="宋体" w:eastAsia="仿宋_GB2312"/>
          <w:sz w:val="28"/>
          <w:szCs w:val="28"/>
        </w:rPr>
        <w:t>土木工程学院</w:t>
      </w:r>
    </w:p>
    <w:p>
      <w:pPr>
        <w:keepNext w:val="0"/>
        <w:keepLines w:val="0"/>
        <w:pageBreakBefore w:val="0"/>
        <w:kinsoku/>
        <w:wordWrap/>
        <w:overflowPunct/>
        <w:topLinePunct w:val="0"/>
        <w:bidi w:val="0"/>
        <w:adjustRightInd w:val="0"/>
        <w:snapToGrid w:val="0"/>
        <w:spacing w:line="540" w:lineRule="exact"/>
        <w:jc w:val="right"/>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31日</w:t>
      </w:r>
    </w:p>
    <w:sectPr>
      <w:footerReference r:id="rId3" w:type="default"/>
      <w:pgSz w:w="12240" w:h="15840"/>
      <w:pgMar w:top="1440" w:right="1080" w:bottom="1440" w:left="108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方正公文小标宋"/>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C543B3"/>
    <w:rsid w:val="0401454E"/>
    <w:rsid w:val="04AC11D7"/>
    <w:rsid w:val="04F5437D"/>
    <w:rsid w:val="07A12672"/>
    <w:rsid w:val="07FF4658"/>
    <w:rsid w:val="09C12A92"/>
    <w:rsid w:val="0B501D05"/>
    <w:rsid w:val="0B6666C8"/>
    <w:rsid w:val="0C9268D9"/>
    <w:rsid w:val="0D975B0B"/>
    <w:rsid w:val="12D160F4"/>
    <w:rsid w:val="154C0BC3"/>
    <w:rsid w:val="1A5B1457"/>
    <w:rsid w:val="1EF83D32"/>
    <w:rsid w:val="2A8B3AE2"/>
    <w:rsid w:val="32100391"/>
    <w:rsid w:val="33F673A4"/>
    <w:rsid w:val="39B46D15"/>
    <w:rsid w:val="3CA33D00"/>
    <w:rsid w:val="432F68D9"/>
    <w:rsid w:val="443E4CA9"/>
    <w:rsid w:val="44CE0F28"/>
    <w:rsid w:val="46E04ECF"/>
    <w:rsid w:val="49471E84"/>
    <w:rsid w:val="4AD439C2"/>
    <w:rsid w:val="4CD800A1"/>
    <w:rsid w:val="4F432D77"/>
    <w:rsid w:val="5E2229E5"/>
    <w:rsid w:val="66D859C8"/>
    <w:rsid w:val="67402384"/>
    <w:rsid w:val="6E9336A9"/>
    <w:rsid w:val="71F7213C"/>
    <w:rsid w:val="74526880"/>
    <w:rsid w:val="74D53851"/>
    <w:rsid w:val="788C5269"/>
    <w:rsid w:val="7A7F0FC7"/>
    <w:rsid w:val="7EEC2E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宋体"/>
      <w:kern w:val="2"/>
      <w:sz w:val="24"/>
      <w:szCs w:val="24"/>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Date"/>
    <w:basedOn w:val="1"/>
    <w:next w:val="1"/>
    <w:link w:val="11"/>
    <w:qFormat/>
    <w:uiPriority w:val="0"/>
    <w:rPr>
      <w:rFonts w:ascii="Times New Roman" w:hAnsi="Times New Roman" w:cs="Times New Roman"/>
      <w:sz w:val="21"/>
      <w:szCs w:val="20"/>
      <w:lang w:val="zh-CN"/>
    </w:rPr>
  </w:style>
  <w:style w:type="paragraph" w:styleId="4">
    <w:name w:val="Balloon Text"/>
    <w:basedOn w:val="1"/>
    <w:link w:val="12"/>
    <w:qFormat/>
    <w:uiPriority w:val="99"/>
    <w:rPr>
      <w:rFonts w:ascii="Heiti SC Light" w:eastAsia="Heiti SC Light"/>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99"/>
    <w:rPr>
      <w:sz w:val="21"/>
      <w:szCs w:val="21"/>
    </w:rPr>
  </w:style>
  <w:style w:type="character" w:customStyle="1" w:styleId="11">
    <w:name w:val="日期 字符"/>
    <w:basedOn w:val="9"/>
    <w:link w:val="3"/>
    <w:qFormat/>
    <w:uiPriority w:val="0"/>
    <w:rPr>
      <w:rFonts w:ascii="Times New Roman" w:hAnsi="Times New Roman" w:eastAsia="宋体" w:cs="Times New Roman"/>
      <w:sz w:val="21"/>
      <w:szCs w:val="20"/>
      <w:lang w:val="zh-CN" w:eastAsia="zh-CN"/>
    </w:rPr>
  </w:style>
  <w:style w:type="character" w:customStyle="1" w:styleId="12">
    <w:name w:val="批注框文本 字符"/>
    <w:basedOn w:val="9"/>
    <w:link w:val="4"/>
    <w:qFormat/>
    <w:uiPriority w:val="99"/>
    <w:rPr>
      <w:rFonts w:ascii="Heiti SC Light" w:eastAsia="Heiti SC Light"/>
      <w:sz w:val="18"/>
      <w:szCs w:val="18"/>
    </w:rPr>
  </w:style>
  <w:style w:type="character" w:customStyle="1" w:styleId="13">
    <w:name w:val="页眉 字符"/>
    <w:basedOn w:val="9"/>
    <w:link w:val="6"/>
    <w:qFormat/>
    <w:uiPriority w:val="99"/>
    <w:rPr>
      <w:rFonts w:ascii="Cambria" w:hAnsi="Cambria" w:eastAsia="宋体" w:cs="宋体"/>
      <w:kern w:val="2"/>
      <w:sz w:val="18"/>
      <w:szCs w:val="18"/>
    </w:rPr>
  </w:style>
  <w:style w:type="character" w:customStyle="1" w:styleId="14">
    <w:name w:val="页脚 字符"/>
    <w:basedOn w:val="9"/>
    <w:link w:val="5"/>
    <w:qFormat/>
    <w:uiPriority w:val="99"/>
    <w:rPr>
      <w:rFonts w:ascii="Cambria" w:hAnsi="Cambria"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3898</Words>
  <Characters>4028</Characters>
  <Paragraphs>317</Paragraphs>
  <TotalTime>174</TotalTime>
  <ScaleCrop>false</ScaleCrop>
  <LinksUpToDate>false</LinksUpToDate>
  <CharactersWithSpaces>4113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2021-09-30T06:58:00Z</dcterms:created>
  <dc:creator>Mengxue Wang</dc:creator>
  <cp:lastModifiedBy>Jimmy侠</cp:lastModifiedBy>
  <cp:lastPrinted>2020-10-22T08:21:00Z</cp:lastPrinted>
  <dcterms:modified xsi:type="dcterms:W3CDTF">2022-08-01T04:51:58Z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169d78b6c55d45eaa13259a240719d3e</vt:lpwstr>
  </property>
</Properties>
</file>